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版本号：FHGJ-ZZ-2025-15820251216001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斜口街办芷阳村柏家山乡村建设项目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FHGJ-ZZ-2025-158</w:t>
      </w:r>
      <w:r>
        <w:br/>
      </w:r>
      <w:r>
        <w:br/>
      </w:r>
      <w:r>
        <w:br/>
      </w:r>
    </w:p>
    <w:p>
      <w:pPr>
        <w:pStyle w:val="null3"/>
        <w:jc w:val="center"/>
        <w:outlineLvl w:val="2"/>
      </w:pPr>
      <w:r>
        <w:rPr>
          <w:rFonts w:ascii="仿宋_GB2312" w:hAnsi="仿宋_GB2312" w:cs="仿宋_GB2312" w:eastAsia="仿宋_GB2312"/>
          <w:sz w:val="28"/>
          <w:b/>
        </w:rPr>
        <w:t>西安市临潼区斜口街道办事处</w:t>
      </w:r>
    </w:p>
    <w:p>
      <w:pPr>
        <w:pStyle w:val="null3"/>
        <w:jc w:val="center"/>
        <w:outlineLvl w:val="2"/>
      </w:pPr>
      <w:r>
        <w:rPr>
          <w:rFonts w:ascii="仿宋_GB2312" w:hAnsi="仿宋_GB2312" w:cs="仿宋_GB2312" w:eastAsia="仿宋_GB2312"/>
          <w:sz w:val="28"/>
          <w:b/>
        </w:rPr>
        <w:t>丰汇国际项目管理有限公司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丰汇国际项目管理有限公司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西安市临潼区斜口街道办事处</w:t>
      </w:r>
      <w:r>
        <w:rPr>
          <w:rFonts w:ascii="仿宋_GB2312" w:hAnsi="仿宋_GB2312" w:cs="仿宋_GB2312" w:eastAsia="仿宋_GB2312"/>
        </w:rPr>
        <w:t>委托，拟对</w:t>
      </w:r>
      <w:r>
        <w:rPr>
          <w:rFonts w:ascii="仿宋_GB2312" w:hAnsi="仿宋_GB2312" w:cs="仿宋_GB2312" w:eastAsia="仿宋_GB2312"/>
        </w:rPr>
        <w:t>斜口街办芷阳村柏家山乡村建设项目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FHGJ-ZZ-2025-158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斜口街办芷阳村柏家山乡村建设项目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临潼区斜口街办柏家山乡村建设项目（芷阳路—骊山大道。连接芷阳石榴产业园至骊山大道，现状为1676.4米长水泥混凝土路面，存在断板、错台等病害，影响村民出行。其中：设计起点：K0+0.00~桩号K0+143.00段路面宽度13米;桩号K0+140.00至设计终点(桩号)K0+1682.60段路面宽度7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采购包1（斜口街办芷阳村柏家山乡村建设项目）：属于专门面向中小企业采购。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1、法定代表人授权书：法人代表证明书或法人授权委托书，后附法人及被委托人身份证（法定代表人直接参加磋商的只需 提供法定代表人身份证）。</w:t>
      </w:r>
    </w:p>
    <w:p>
      <w:pPr>
        <w:pStyle w:val="null3"/>
      </w:pPr>
      <w:r>
        <w:rPr>
          <w:rFonts w:ascii="仿宋_GB2312" w:hAnsi="仿宋_GB2312" w:cs="仿宋_GB2312" w:eastAsia="仿宋_GB2312"/>
        </w:rPr>
        <w:t>2、企业资质：供应商具备市政公用工程施工总承包三级以上(含三级)资质，具有有效的安全生产许可证。</w:t>
      </w:r>
    </w:p>
    <w:p>
      <w:pPr>
        <w:pStyle w:val="null3"/>
      </w:pPr>
      <w:r>
        <w:rPr>
          <w:rFonts w:ascii="仿宋_GB2312" w:hAnsi="仿宋_GB2312" w:cs="仿宋_GB2312" w:eastAsia="仿宋_GB2312"/>
        </w:rPr>
        <w:t>3、拟派项目经理资质和专业要求：拟派项目经理须具备市政公用工程专业二级及以上注册建造师资质，在有效期内，且具备有效的安全生产考核合格证书B证，并提供项目经理无其他在建工程承诺书。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 主体的供应商，不得为“中国政府采购网(www.ccgp.gov.cn)”政府采购严重违法失信行为记录名 单中被财政部门禁止参加政府采购活动的供应商。</w:t>
      </w:r>
    </w:p>
    <w:p>
      <w:pPr>
        <w:pStyle w:val="null3"/>
      </w:pPr>
      <w:r>
        <w:rPr>
          <w:rFonts w:ascii="仿宋_GB2312" w:hAnsi="仿宋_GB2312" w:cs="仿宋_GB2312" w:eastAsia="仿宋_GB2312"/>
        </w:rPr>
        <w:t>5、非联合体磋商：本项目不接受联合体磋商。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西安市临潼区斜口街道办事处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临潼区斜口街道105号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临潼区斜口街道办事处经办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029-83951214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丰汇国际项目管理有限公司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陕西省西安市碑林区长安北路（南稍门十字）大话南门壹中心13楼1309室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15109299905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西安市临潼区斜口街道办事处</w:t>
      </w:r>
      <w:r>
        <w:rPr>
          <w:rFonts w:ascii="仿宋_GB2312" w:hAnsi="仿宋_GB2312" w:cs="仿宋_GB2312" w:eastAsia="仿宋_GB2312"/>
        </w:rPr>
        <w:t>和</w:t>
      </w:r>
      <w:r>
        <w:rPr>
          <w:rFonts w:ascii="仿宋_GB2312" w:hAnsi="仿宋_GB2312" w:cs="仿宋_GB2312" w:eastAsia="仿宋_GB2312"/>
        </w:rPr>
        <w:t>丰汇国际项目管理有限公司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西安市临潼区斜口街道办事处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丰汇国际项目管理有限公司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西安市临潼区斜口街道办事处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丰汇国际项目管理有限公司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符合国家现行技术规范合格标准及采购人要求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丰汇国际项目管理有限公司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联系人：张静</w:t>
      </w:r>
    </w:p>
    <w:p>
      <w:pPr>
        <w:pStyle w:val="null3"/>
      </w:pPr>
      <w:r>
        <w:rPr>
          <w:rFonts w:ascii="仿宋_GB2312" w:hAnsi="仿宋_GB2312" w:cs="仿宋_GB2312" w:eastAsia="仿宋_GB2312"/>
        </w:rPr>
        <w:t>联系电话：15109299905</w:t>
      </w:r>
    </w:p>
    <w:p>
      <w:pPr>
        <w:pStyle w:val="null3"/>
      </w:pPr>
      <w:r>
        <w:rPr>
          <w:rFonts w:ascii="仿宋_GB2312" w:hAnsi="仿宋_GB2312" w:cs="仿宋_GB2312" w:eastAsia="仿宋_GB2312"/>
        </w:rPr>
        <w:t>地址：陕西省西安市碑林区长安北路（南稍门十字）大话南门壹中心13楼1309室</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斜口街办芷阳村柏家山乡村建设项目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标的名称：斜口街办芷阳村柏家山乡村建设项目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56"/>
              <w:jc w:val="left"/>
            </w:pPr>
            <w:r>
              <w:rPr>
                <w:rFonts w:ascii="仿宋_GB2312" w:hAnsi="仿宋_GB2312" w:cs="仿宋_GB2312" w:eastAsia="仿宋_GB2312"/>
                <w:sz w:val="24"/>
                <w:color w:val="000000"/>
              </w:rPr>
              <w:t>一、项目概况</w:t>
            </w:r>
          </w:p>
          <w:p>
            <w:pPr>
              <w:pStyle w:val="null3"/>
              <w:ind w:firstLine="476"/>
              <w:jc w:val="both"/>
            </w:pPr>
            <w:r>
              <w:rPr>
                <w:rFonts w:ascii="仿宋_GB2312" w:hAnsi="仿宋_GB2312" w:cs="仿宋_GB2312" w:eastAsia="仿宋_GB2312"/>
                <w:sz w:val="24"/>
                <w:color w:val="000000"/>
              </w:rPr>
              <w:t>西安市临潼区斜口街办柏家山乡村建设项目（芷阳路</w:t>
            </w:r>
            <w:r>
              <w:rPr>
                <w:rFonts w:ascii="仿宋_GB2312" w:hAnsi="仿宋_GB2312" w:cs="仿宋_GB2312" w:eastAsia="仿宋_GB2312"/>
                <w:sz w:val="24"/>
                <w:color w:val="000000"/>
              </w:rPr>
              <w:t>—骊山大道。连接芷阳石榴产业园至骊山大道，现状为1676.4米长水泥混凝土路面，存在断板、错台等病害，影响村民出行。其中：设计起点：K0+0.00~桩号K0+143.00段路面宽度13米;桩号K0+140.00至设计终点(桩号)K0+1682.60段路面宽度7米。</w:t>
            </w:r>
          </w:p>
          <w:p>
            <w:pPr>
              <w:pStyle w:val="null3"/>
              <w:ind w:firstLine="468"/>
              <w:jc w:val="left"/>
            </w:pPr>
            <w:r>
              <w:rPr>
                <w:rFonts w:ascii="仿宋_GB2312" w:hAnsi="仿宋_GB2312" w:cs="仿宋_GB2312" w:eastAsia="仿宋_GB2312"/>
                <w:sz w:val="24"/>
                <w:color w:val="000000"/>
              </w:rPr>
              <w:t>二、工程内容和施工地点、计划工期、质量保修期</w:t>
            </w:r>
          </w:p>
          <w:p>
            <w:pPr>
              <w:pStyle w:val="null3"/>
              <w:ind w:firstLine="476"/>
              <w:jc w:val="both"/>
            </w:pPr>
            <w:r>
              <w:rPr>
                <w:rFonts w:ascii="仿宋_GB2312" w:hAnsi="仿宋_GB2312" w:cs="仿宋_GB2312" w:eastAsia="仿宋_GB2312"/>
                <w:sz w:val="24"/>
                <w:color w:val="000000"/>
              </w:rPr>
              <w:t>（一）工程内容：</w:t>
            </w:r>
            <w:r>
              <w:rPr>
                <w:rFonts w:ascii="仿宋_GB2312" w:hAnsi="仿宋_GB2312" w:cs="仿宋_GB2312" w:eastAsia="仿宋_GB2312"/>
                <w:sz w:val="24"/>
                <w:color w:val="000000"/>
              </w:rPr>
              <w:t>铺设</w:t>
            </w:r>
            <w:r>
              <w:rPr>
                <w:rFonts w:ascii="仿宋_GB2312" w:hAnsi="仿宋_GB2312" w:cs="仿宋_GB2312" w:eastAsia="仿宋_GB2312"/>
                <w:sz w:val="24"/>
                <w:color w:val="000000"/>
              </w:rPr>
              <w:t>6厘米沥青路面12000平方米，检查井提升55座。</w:t>
            </w:r>
          </w:p>
          <w:p>
            <w:pPr>
              <w:pStyle w:val="null3"/>
              <w:ind w:firstLine="476"/>
              <w:jc w:val="both"/>
            </w:pPr>
            <w:r>
              <w:rPr>
                <w:rFonts w:ascii="仿宋_GB2312" w:hAnsi="仿宋_GB2312" w:cs="仿宋_GB2312" w:eastAsia="仿宋_GB2312"/>
                <w:sz w:val="24"/>
                <w:color w:val="000000"/>
              </w:rPr>
              <w:t>（二）施工地点：采购人指定地点</w:t>
            </w:r>
          </w:p>
          <w:p>
            <w:pPr>
              <w:pStyle w:val="null3"/>
              <w:ind w:firstLine="476"/>
              <w:jc w:val="both"/>
            </w:pPr>
            <w:r>
              <w:rPr>
                <w:rFonts w:ascii="仿宋_GB2312" w:hAnsi="仿宋_GB2312" w:cs="仿宋_GB2312" w:eastAsia="仿宋_GB2312"/>
                <w:sz w:val="24"/>
                <w:color w:val="000000"/>
              </w:rPr>
              <w:t>（三）计划工期：自进场之日起</w:t>
            </w:r>
            <w:r>
              <w:rPr>
                <w:rFonts w:ascii="仿宋_GB2312" w:hAnsi="仿宋_GB2312" w:cs="仿宋_GB2312" w:eastAsia="仿宋_GB2312"/>
                <w:sz w:val="24"/>
                <w:color w:val="000000"/>
              </w:rPr>
              <w:t>30</w:t>
            </w:r>
            <w:r>
              <w:rPr>
                <w:rFonts w:ascii="仿宋_GB2312" w:hAnsi="仿宋_GB2312" w:cs="仿宋_GB2312" w:eastAsia="仿宋_GB2312"/>
                <w:sz w:val="24"/>
                <w:color w:val="000000"/>
              </w:rPr>
              <w:t>个日历天</w:t>
            </w:r>
          </w:p>
          <w:p>
            <w:pPr>
              <w:pStyle w:val="null3"/>
              <w:ind w:firstLine="476"/>
              <w:jc w:val="both"/>
            </w:pPr>
            <w:r>
              <w:rPr>
                <w:rFonts w:ascii="仿宋_GB2312" w:hAnsi="仿宋_GB2312" w:cs="仿宋_GB2312" w:eastAsia="仿宋_GB2312"/>
                <w:sz w:val="24"/>
                <w:color w:val="000000"/>
              </w:rPr>
              <w:t>（四）缺陷责任期（与质保金的退还有关）：见《建设工程质量保证金管理暂行办法》，一般不超过</w:t>
            </w:r>
            <w:r>
              <w:rPr>
                <w:rFonts w:ascii="仿宋_GB2312" w:hAnsi="仿宋_GB2312" w:cs="仿宋_GB2312" w:eastAsia="仿宋_GB2312"/>
                <w:sz w:val="24"/>
                <w:color w:val="000000"/>
              </w:rPr>
              <w:t>2年。</w:t>
            </w:r>
          </w:p>
          <w:p>
            <w:pPr>
              <w:pStyle w:val="null3"/>
              <w:ind w:firstLine="476"/>
              <w:jc w:val="both"/>
            </w:pPr>
            <w:r>
              <w:rPr>
                <w:rFonts w:ascii="仿宋_GB2312" w:hAnsi="仿宋_GB2312" w:cs="仿宋_GB2312" w:eastAsia="仿宋_GB2312"/>
                <w:sz w:val="24"/>
                <w:color w:val="000000"/>
              </w:rPr>
              <w:t>（五）质量保修期（与质保金的退还无关）：见《建设工程质量管理条例》。</w:t>
            </w:r>
          </w:p>
          <w:p>
            <w:pPr>
              <w:pStyle w:val="null3"/>
              <w:ind w:firstLine="468"/>
              <w:jc w:val="left"/>
            </w:pPr>
            <w:r>
              <w:rPr>
                <w:rFonts w:ascii="仿宋_GB2312" w:hAnsi="仿宋_GB2312" w:cs="仿宋_GB2312" w:eastAsia="仿宋_GB2312"/>
                <w:sz w:val="24"/>
                <w:color w:val="000000"/>
              </w:rPr>
              <w:t>三、工程量清单和计价依据</w:t>
            </w:r>
          </w:p>
          <w:p>
            <w:pPr>
              <w:pStyle w:val="null3"/>
              <w:ind w:firstLine="476"/>
              <w:jc w:val="both"/>
            </w:pPr>
            <w:r>
              <w:rPr>
                <w:rFonts w:ascii="仿宋_GB2312" w:hAnsi="仿宋_GB2312" w:cs="仿宋_GB2312" w:eastAsia="仿宋_GB2312"/>
                <w:sz w:val="24"/>
                <w:color w:val="000000"/>
              </w:rPr>
              <w:t>（一）计价依据：</w:t>
            </w:r>
          </w:p>
          <w:p>
            <w:pPr>
              <w:pStyle w:val="null3"/>
              <w:ind w:firstLine="476"/>
              <w:jc w:val="both"/>
            </w:pPr>
            <w:r>
              <w:rPr>
                <w:rFonts w:ascii="仿宋_GB2312" w:hAnsi="仿宋_GB2312" w:cs="仿宋_GB2312" w:eastAsia="仿宋_GB2312"/>
                <w:sz w:val="24"/>
                <w:color w:val="000000"/>
              </w:rPr>
              <w:t>1、中智投工程管理有限公司设计的《西安市临潼区斜口街办柏家山乡村建设项目（芷阳路—骊山大道）图纸；</w:t>
            </w:r>
          </w:p>
          <w:p>
            <w:pPr>
              <w:pStyle w:val="null3"/>
              <w:ind w:firstLine="476"/>
              <w:jc w:val="both"/>
            </w:pPr>
            <w:r>
              <w:rPr>
                <w:rFonts w:ascii="仿宋_GB2312" w:hAnsi="仿宋_GB2312" w:cs="仿宋_GB2312" w:eastAsia="仿宋_GB2312"/>
                <w:sz w:val="24"/>
                <w:color w:val="000000"/>
              </w:rPr>
              <w:t>2、陕西省《建设工程工程量清单计价标准》DB61/T5126-2025；</w:t>
            </w:r>
          </w:p>
          <w:p>
            <w:pPr>
              <w:pStyle w:val="null3"/>
              <w:ind w:firstLine="476"/>
              <w:jc w:val="both"/>
            </w:pPr>
            <w:r>
              <w:rPr>
                <w:rFonts w:ascii="仿宋_GB2312" w:hAnsi="仿宋_GB2312" w:cs="仿宋_GB2312" w:eastAsia="仿宋_GB2312"/>
                <w:sz w:val="24"/>
                <w:color w:val="000000"/>
              </w:rPr>
              <w:t>3、《陕西省建设工程费用规则》（2025）</w:t>
            </w:r>
          </w:p>
          <w:p>
            <w:pPr>
              <w:pStyle w:val="null3"/>
              <w:ind w:firstLine="476"/>
              <w:jc w:val="both"/>
            </w:pPr>
            <w:r>
              <w:rPr>
                <w:rFonts w:ascii="仿宋_GB2312" w:hAnsi="仿宋_GB2312" w:cs="仿宋_GB2312" w:eastAsia="仿宋_GB2312"/>
                <w:sz w:val="24"/>
                <w:color w:val="000000"/>
              </w:rPr>
              <w:t>4、《陕西省房屋建筑与装饰工程基价表》（2025）</w:t>
            </w:r>
          </w:p>
          <w:p>
            <w:pPr>
              <w:pStyle w:val="null3"/>
              <w:ind w:firstLine="476"/>
              <w:jc w:val="both"/>
            </w:pPr>
            <w:r>
              <w:rPr>
                <w:rFonts w:ascii="仿宋_GB2312" w:hAnsi="仿宋_GB2312" w:cs="仿宋_GB2312" w:eastAsia="仿宋_GB2312"/>
                <w:sz w:val="24"/>
                <w:color w:val="000000"/>
              </w:rPr>
              <w:t>5、《陕西省通用安装工程基价表》（2025）</w:t>
            </w:r>
          </w:p>
          <w:p>
            <w:pPr>
              <w:pStyle w:val="null3"/>
              <w:ind w:firstLine="476"/>
              <w:jc w:val="both"/>
            </w:pPr>
            <w:r>
              <w:rPr>
                <w:rFonts w:ascii="仿宋_GB2312" w:hAnsi="仿宋_GB2312" w:cs="仿宋_GB2312" w:eastAsia="仿宋_GB2312"/>
                <w:sz w:val="24"/>
                <w:color w:val="000000"/>
              </w:rPr>
              <w:t>6、《陕西省市政工程基价表》（2025）</w:t>
            </w:r>
          </w:p>
          <w:p>
            <w:pPr>
              <w:pStyle w:val="null3"/>
              <w:ind w:firstLine="476"/>
              <w:jc w:val="both"/>
            </w:pPr>
            <w:r>
              <w:rPr>
                <w:rFonts w:ascii="仿宋_GB2312" w:hAnsi="仿宋_GB2312" w:cs="仿宋_GB2312" w:eastAsia="仿宋_GB2312"/>
                <w:sz w:val="24"/>
                <w:color w:val="000000"/>
              </w:rPr>
              <w:t>7、《陕西省园林绿化工程基价表》（2025）</w:t>
            </w:r>
          </w:p>
          <w:p>
            <w:pPr>
              <w:pStyle w:val="null3"/>
              <w:ind w:firstLine="476"/>
              <w:jc w:val="both"/>
            </w:pPr>
            <w:r>
              <w:rPr>
                <w:rFonts w:ascii="仿宋_GB2312" w:hAnsi="仿宋_GB2312" w:cs="仿宋_GB2312" w:eastAsia="仿宋_GB2312"/>
                <w:sz w:val="24"/>
                <w:color w:val="000000"/>
              </w:rPr>
              <w:t>8、《陕西省绿色建筑工程基价表》(2025)</w:t>
            </w:r>
          </w:p>
          <w:p>
            <w:pPr>
              <w:pStyle w:val="null3"/>
              <w:ind w:firstLine="476"/>
              <w:jc w:val="both"/>
            </w:pPr>
            <w:r>
              <w:rPr>
                <w:rFonts w:ascii="仿宋_GB2312" w:hAnsi="仿宋_GB2312" w:cs="仿宋_GB2312" w:eastAsia="仿宋_GB2312"/>
                <w:sz w:val="24"/>
                <w:color w:val="000000"/>
              </w:rPr>
              <w:t>9、《陕西省房屋建筑与装饰工程消耗量定额》(2025)</w:t>
            </w:r>
          </w:p>
          <w:p>
            <w:pPr>
              <w:pStyle w:val="null3"/>
              <w:ind w:firstLine="476"/>
              <w:jc w:val="both"/>
            </w:pPr>
            <w:r>
              <w:rPr>
                <w:rFonts w:ascii="仿宋_GB2312" w:hAnsi="仿宋_GB2312" w:cs="仿宋_GB2312" w:eastAsia="仿宋_GB2312"/>
                <w:sz w:val="24"/>
                <w:color w:val="000000"/>
              </w:rPr>
              <w:t>10、《陕西省通用安装工程消耗量定额》(2025)</w:t>
            </w:r>
          </w:p>
          <w:p>
            <w:pPr>
              <w:pStyle w:val="null3"/>
              <w:ind w:firstLine="476"/>
              <w:jc w:val="both"/>
            </w:pPr>
            <w:r>
              <w:rPr>
                <w:rFonts w:ascii="仿宋_GB2312" w:hAnsi="仿宋_GB2312" w:cs="仿宋_GB2312" w:eastAsia="仿宋_GB2312"/>
                <w:sz w:val="24"/>
                <w:color w:val="000000"/>
              </w:rPr>
              <w:t>11、《陕西省市政工程消耗量定额》(2025)</w:t>
            </w:r>
          </w:p>
          <w:p>
            <w:pPr>
              <w:pStyle w:val="null3"/>
              <w:ind w:firstLine="476"/>
              <w:jc w:val="both"/>
            </w:pPr>
            <w:r>
              <w:rPr>
                <w:rFonts w:ascii="仿宋_GB2312" w:hAnsi="仿宋_GB2312" w:cs="仿宋_GB2312" w:eastAsia="仿宋_GB2312"/>
                <w:sz w:val="24"/>
                <w:color w:val="000000"/>
              </w:rPr>
              <w:t>12、《陕西省园林绿化工程消耗量定额》(2025)</w:t>
            </w:r>
          </w:p>
          <w:p>
            <w:pPr>
              <w:pStyle w:val="null3"/>
              <w:ind w:firstLine="476"/>
              <w:jc w:val="both"/>
            </w:pPr>
            <w:r>
              <w:rPr>
                <w:rFonts w:ascii="仿宋_GB2312" w:hAnsi="仿宋_GB2312" w:cs="仿宋_GB2312" w:eastAsia="仿宋_GB2312"/>
                <w:sz w:val="24"/>
                <w:color w:val="000000"/>
              </w:rPr>
              <w:t>13、《陕西省绿色建筑工程消耗量定额》(2025)</w:t>
            </w:r>
          </w:p>
          <w:p>
            <w:pPr>
              <w:pStyle w:val="null3"/>
              <w:ind w:firstLine="476"/>
              <w:jc w:val="both"/>
            </w:pPr>
            <w:r>
              <w:rPr>
                <w:rFonts w:ascii="仿宋_GB2312" w:hAnsi="仿宋_GB2312" w:cs="仿宋_GB2312" w:eastAsia="仿宋_GB2312"/>
                <w:sz w:val="24"/>
                <w:color w:val="000000"/>
              </w:rPr>
              <w:t>14、《陕西省建设工程施工机械台班费用定额》(2025)</w:t>
            </w:r>
          </w:p>
          <w:p>
            <w:pPr>
              <w:pStyle w:val="null3"/>
              <w:ind w:firstLine="476"/>
              <w:jc w:val="both"/>
            </w:pPr>
            <w:r>
              <w:rPr>
                <w:rFonts w:ascii="仿宋_GB2312" w:hAnsi="仿宋_GB2312" w:cs="仿宋_GB2312" w:eastAsia="仿宋_GB2312"/>
                <w:sz w:val="24"/>
                <w:color w:val="000000"/>
              </w:rPr>
              <w:t>15、《陕西省建设工程施工仪器仪表台班费用定额》(2025)</w:t>
            </w:r>
          </w:p>
          <w:p>
            <w:pPr>
              <w:pStyle w:val="null3"/>
              <w:ind w:firstLine="476"/>
              <w:jc w:val="both"/>
            </w:pPr>
            <w:r>
              <w:rPr>
                <w:rFonts w:ascii="仿宋_GB2312" w:hAnsi="仿宋_GB2312" w:cs="仿宋_GB2312" w:eastAsia="仿宋_GB2312"/>
                <w:sz w:val="24"/>
                <w:color w:val="000000"/>
              </w:rPr>
              <w:t>16、本工程材料费依据《临潼区信息价》（2025年10月份）并结合市场调研价计入本次预算；</w:t>
            </w:r>
          </w:p>
          <w:p>
            <w:pPr>
              <w:pStyle w:val="null3"/>
              <w:ind w:firstLine="476"/>
              <w:jc w:val="both"/>
            </w:pPr>
            <w:r>
              <w:rPr>
                <w:rFonts w:ascii="仿宋_GB2312" w:hAnsi="仿宋_GB2312" w:cs="仿宋_GB2312" w:eastAsia="仿宋_GB2312"/>
                <w:sz w:val="24"/>
                <w:color w:val="000000"/>
              </w:rPr>
              <w:t>17、正常的施工组织设计及施工方法；</w:t>
            </w:r>
          </w:p>
          <w:p>
            <w:pPr>
              <w:pStyle w:val="null3"/>
              <w:ind w:firstLine="476"/>
              <w:jc w:val="both"/>
            </w:pPr>
            <w:r>
              <w:rPr>
                <w:rFonts w:ascii="仿宋_GB2312" w:hAnsi="仿宋_GB2312" w:cs="仿宋_GB2312" w:eastAsia="仿宋_GB2312"/>
                <w:sz w:val="24"/>
                <w:color w:val="000000"/>
              </w:rPr>
              <w:t>18、建设工程相关施工规范及验收标准；</w:t>
            </w:r>
          </w:p>
          <w:p>
            <w:pPr>
              <w:pStyle w:val="null3"/>
              <w:ind w:firstLine="476"/>
              <w:jc w:val="both"/>
            </w:pPr>
            <w:r>
              <w:rPr>
                <w:rFonts w:ascii="仿宋_GB2312" w:hAnsi="仿宋_GB2312" w:cs="仿宋_GB2312" w:eastAsia="仿宋_GB2312"/>
                <w:sz w:val="24"/>
                <w:color w:val="000000"/>
              </w:rPr>
              <w:t>19、设计图采用的相关施工规范及验收规范。</w:t>
            </w:r>
          </w:p>
          <w:p>
            <w:pPr>
              <w:pStyle w:val="null3"/>
              <w:ind w:firstLine="476"/>
              <w:jc w:val="both"/>
            </w:pPr>
            <w:r>
              <w:rPr>
                <w:rFonts w:ascii="仿宋_GB2312" w:hAnsi="仿宋_GB2312" w:cs="仿宋_GB2312" w:eastAsia="仿宋_GB2312"/>
                <w:sz w:val="24"/>
                <w:color w:val="000000"/>
              </w:rPr>
              <w:t>（二）工程量清单：</w:t>
            </w:r>
            <w:r>
              <w:rPr>
                <w:rFonts w:ascii="仿宋_GB2312" w:hAnsi="仿宋_GB2312" w:cs="仿宋_GB2312" w:eastAsia="仿宋_GB2312"/>
                <w:sz w:val="24"/>
                <w:color w:val="000000"/>
              </w:rPr>
              <w:t>详见工程量清单</w:t>
            </w:r>
          </w:p>
          <w:p>
            <w:pPr>
              <w:pStyle w:val="null3"/>
              <w:ind w:firstLine="468"/>
              <w:jc w:val="left"/>
            </w:pPr>
            <w:r>
              <w:rPr>
                <w:rFonts w:ascii="仿宋_GB2312" w:hAnsi="仿宋_GB2312" w:cs="仿宋_GB2312" w:eastAsia="仿宋_GB2312"/>
                <w:sz w:val="24"/>
                <w:color w:val="000000"/>
              </w:rPr>
              <w:t>四、施工要求（可选）</w:t>
            </w:r>
          </w:p>
          <w:p>
            <w:pPr>
              <w:pStyle w:val="null3"/>
              <w:ind w:firstLine="47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1）所有施工和材料所涉及的标准规范（如产品标准/规范、工程标准/规范、验收标准/规范等）须完全符合所有中华人民共和国的标准及规范。</w:t>
            </w:r>
          </w:p>
          <w:p>
            <w:pPr>
              <w:pStyle w:val="null3"/>
              <w:ind w:firstLine="476"/>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2）在施工期间，中标供应商必须注意人员安全，加强安全措施，并对施工人员进行安全教育。施工人员必须持证上岗。</w:t>
            </w:r>
          </w:p>
          <w:p>
            <w:pPr>
              <w:pStyle w:val="null3"/>
              <w:ind w:firstLine="468"/>
              <w:jc w:val="left"/>
            </w:pPr>
            <w:r>
              <w:rPr>
                <w:rFonts w:ascii="仿宋_GB2312" w:hAnsi="仿宋_GB2312" w:cs="仿宋_GB2312" w:eastAsia="仿宋_GB2312"/>
                <w:sz w:val="24"/>
                <w:color w:val="000000"/>
              </w:rPr>
              <w:t>五、商务要求（如合同价款及结算方式等）</w:t>
            </w:r>
          </w:p>
          <w:p>
            <w:pPr>
              <w:pStyle w:val="null3"/>
              <w:ind w:firstLine="480"/>
              <w:jc w:val="left"/>
            </w:pPr>
            <w:r>
              <w:rPr>
                <w:rFonts w:ascii="仿宋_GB2312" w:hAnsi="仿宋_GB2312" w:cs="仿宋_GB2312" w:eastAsia="仿宋_GB2312"/>
                <w:sz w:val="24"/>
                <w:color w:val="000000"/>
              </w:rPr>
              <w:t>付款方式为合同签订后，甲方向乙方支付合同价款的</w:t>
            </w:r>
            <w:r>
              <w:rPr>
                <w:rFonts w:ascii="仿宋_GB2312" w:hAnsi="仿宋_GB2312" w:cs="仿宋_GB2312" w:eastAsia="仿宋_GB2312"/>
                <w:sz w:val="24"/>
                <w:color w:val="000000"/>
              </w:rPr>
              <w:t>40%作为预付款；工程竣工，验收合格后支付合同总价款的85%；审计部门审计完成后，支付至审计结算价款的97%，剩余3%待缺陷责任期满后一次性支付。</w:t>
            </w:r>
          </w:p>
          <w:p>
            <w:pPr>
              <w:pStyle w:val="null3"/>
              <w:ind w:firstLine="454"/>
              <w:jc w:val="left"/>
            </w:pPr>
            <w:r>
              <w:rPr>
                <w:rFonts w:ascii="仿宋_GB2312" w:hAnsi="仿宋_GB2312" w:cs="仿宋_GB2312" w:eastAsia="仿宋_GB2312"/>
                <w:sz w:val="24"/>
                <w:b/>
                <w:color w:val="000000"/>
              </w:rPr>
              <w:t>六、其他</w:t>
            </w:r>
          </w:p>
          <w:p>
            <w:pPr>
              <w:pStyle w:val="null3"/>
              <w:spacing w:before="30"/>
              <w:ind w:left="435"/>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）质量验收标准或规范</w:t>
            </w:r>
          </w:p>
          <w:p>
            <w:pPr>
              <w:pStyle w:val="null3"/>
              <w:spacing w:before="30"/>
              <w:ind w:left="435"/>
              <w:jc w:val="left"/>
            </w:pPr>
            <w:r>
              <w:rPr>
                <w:rFonts w:ascii="仿宋_GB2312" w:hAnsi="仿宋_GB2312" w:cs="仿宋_GB2312" w:eastAsia="仿宋_GB2312"/>
                <w:sz w:val="24"/>
                <w:color w:val="000000"/>
              </w:rPr>
              <w:t>符合国家现行有关施工质量验收规范</w:t>
            </w:r>
            <w:r>
              <w:rPr>
                <w:rFonts w:ascii="仿宋_GB2312" w:hAnsi="仿宋_GB2312" w:cs="仿宋_GB2312" w:eastAsia="仿宋_GB2312"/>
                <w:sz w:val="24"/>
                <w:color w:val="000000"/>
              </w:rPr>
              <w:t>“合格”要求。</w:t>
            </w:r>
          </w:p>
          <w:p>
            <w:pPr>
              <w:pStyle w:val="null3"/>
              <w:spacing w:before="30"/>
              <w:ind w:left="435"/>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）违约责任</w:t>
            </w:r>
          </w:p>
          <w:p>
            <w:pPr>
              <w:pStyle w:val="null3"/>
              <w:ind w:firstLine="516"/>
              <w:jc w:val="left"/>
            </w:pPr>
            <w:r>
              <w:rPr>
                <w:rFonts w:ascii="仿宋_GB2312" w:hAnsi="仿宋_GB2312" w:cs="仿宋_GB2312" w:eastAsia="仿宋_GB2312"/>
                <w:sz w:val="24"/>
                <w:color w:val="000000"/>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spacing w:before="30"/>
              <w:ind w:left="435"/>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）与本工程相关的特别说明</w:t>
            </w:r>
          </w:p>
          <w:p>
            <w:pPr>
              <w:pStyle w:val="null3"/>
              <w:ind w:firstLine="516"/>
              <w:jc w:val="left"/>
            </w:pPr>
            <w:r>
              <w:rPr>
                <w:rFonts w:ascii="仿宋_GB2312" w:hAnsi="仿宋_GB2312" w:cs="仿宋_GB2312" w:eastAsia="仿宋_GB2312"/>
                <w:sz w:val="24"/>
                <w:color w:val="000000"/>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需要在线提交所有通过电子化交易平台实施的政府采购项目的响应文件，同时，线下递交响应文件，正本壹份、副本贰份，随正本密封。若线上电子响应文件与纸质响应文件不一致以电子响应文件为准；若正本和副本不符，以正本为准。 线下递交时间同线上响应文件递交截止时间 ；线下递交文件地点：陕西省西安市碑林区长安北路（南稍门十字）大话南门壹中心13楼1309室。 2、本项目磋商报价为完成本项目工程量清单及图纸的全部内容，包括但不限于以下内容:人工费、材料费、机械费、措施费、管理费、利润、规费、税金、风险等完成本项目所产生的一切费用。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根据临财函〔2025〕199号《西安市临潼区财政局关于开展政府采购供应商基本资格条件承诺制试点工作的通知》，供应商只需以书面形式提供规定格式的《基本资格条件承诺函》(详见资格证明文件中相关格式)， 如未提供基本资格条件承诺函的，提供2024年经审计的财务审计报告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 提供法定代表人身份证）。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供应商具备市政公用工程施工总承包三级以上(含三级)资质，具有有效的安全生产许可证。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拟派项目经理须具备市政公用工程专业二级及以上注册建造师资质，在有效期内，且具备有效的安全生产考核合格证书B证，并提供项目经理无其他在建工程承诺书。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 主体的供应商，不得为“中国政府采购网(www.ccgp.gov.cn)”政府采购严重违法失信行为记录名 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只能有一个有效报价，不得提交选择性报价，且报价不超出 相对应标包最高限价金额。</w:t>
            </w:r>
          </w:p>
        </w:tc>
        <w:tc>
          <w:tcPr>
            <w:tcW w:type="dxa" w:w="1661"/>
          </w:tcPr>
          <w:p>
            <w:pPr>
              <w:pStyle w:val="null3"/>
            </w:pPr>
            <w:r>
              <w:rPr>
                <w:rFonts w:ascii="仿宋_GB2312" w:hAnsi="仿宋_GB2312" w:cs="仿宋_GB2312" w:eastAsia="仿宋_GB2312"/>
              </w:rPr>
              <w:t>响应文件封面 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报价函 标的清单 供应商类似项目业绩一览表 响应实施方案.docx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满足磋商文件中要求的工期</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施工方案内容至少包括：①施工总平面布置图、施工进度表或施工网络图；②施工准备及进度安排;③施工方法；④重点难点工程分析及解决措施；⑤影响正常施工外在因素分析及对应预案等。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上述5项评审内容全部满足评审标准得15分，每有一个评审内容缺项扣3分，每有一项评审内容存在缺陷，扣1-2分，扣完为止。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内容至少包括①质量管理流程；②工程质量保障方案；③工程质量控制体系；④材料和构配件的质量控制等；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确保安全生产技术组织措施</w:t>
            </w:r>
          </w:p>
        </w:tc>
        <w:tc>
          <w:tcPr>
            <w:tcW w:type="dxa" w:w="2492"/>
          </w:tcPr>
          <w:p>
            <w:pPr>
              <w:pStyle w:val="null3"/>
            </w:pPr>
            <w:r>
              <w:rPr>
                <w:rFonts w:ascii="仿宋_GB2312" w:hAnsi="仿宋_GB2312" w:cs="仿宋_GB2312" w:eastAsia="仿宋_GB2312"/>
              </w:rPr>
              <w:t>一、评审内容： 内容至少包括①安全生产管理制度；②配置安全组织机构；③安全隐患排查、整改制度；④应急救援方案等。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确保文明施工及环境保护组织措施</w:t>
            </w:r>
          </w:p>
        </w:tc>
        <w:tc>
          <w:tcPr>
            <w:tcW w:type="dxa" w:w="2492"/>
          </w:tcPr>
          <w:p>
            <w:pPr>
              <w:pStyle w:val="null3"/>
            </w:pPr>
            <w:r>
              <w:rPr>
                <w:rFonts w:ascii="仿宋_GB2312" w:hAnsi="仿宋_GB2312" w:cs="仿宋_GB2312" w:eastAsia="仿宋_GB2312"/>
              </w:rPr>
              <w:t>一、评审内容： 内容至少包括①文明施工及环境保护管理制度； ②防尘降噪措施；③节能减排措施；④治污减霾措施；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内容至少包括①施工进度安排； ②工期目标控制和保证措施； ③材料供应措施； ④成品、半成品保护监管措施等。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内容至少包括①项目成员配置清单及架构②项目组配备人员的专业素质③人员结构④服务响应时间；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上述4项评审内容全部满足评审标准得8分，每有一个评审内容缺项扣2分，每有一项评审内容存在缺陷，扣1-1.5分，扣完为止。 （项目组配备人员须提供相关人员证书等）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一、评审内容： 内容至少包括①施工机械配置计划； ②施工材料投入计划；③施工机械的维护保养和材料的贮存；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一、评审内容： 内容至少包括①劳动力投入计划②劳动力保障措施；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上述2项评审内容全部满足评审标准得4分，每有一个评审内容缺项扣2分，每有一项评审内容存在缺陷，扣1-1.5分，扣完为止。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供应商提供2022年10月1日（以合同签订日期为准）至今的类似项目业绩，每提供一份得1分，最高得5分。(合同复印件加盖公章附在响应文件中，否则不作为评审依据）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