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版本号：HYZB20250067.20260104001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相桥街道神东村省级“千万工程”示范村建设提升项目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HYZB20250067.</w:t>
      </w:r>
      <w:r>
        <w:br/>
      </w:r>
      <w:r>
        <w:br/>
      </w:r>
      <w:r>
        <w:br/>
      </w:r>
    </w:p>
    <w:p>
      <w:pPr>
        <w:pStyle w:val="null3"/>
        <w:jc w:val="center"/>
        <w:outlineLvl w:val="2"/>
      </w:pPr>
      <w:r>
        <w:rPr>
          <w:rFonts w:ascii="仿宋_GB2312" w:hAnsi="仿宋_GB2312" w:cs="仿宋_GB2312" w:eastAsia="仿宋_GB2312"/>
          <w:sz w:val="28"/>
          <w:b/>
        </w:rPr>
        <w:t>西安市临潼区相桥街道办事处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西安市临潼区相桥街道办事处</w:t>
      </w:r>
      <w:r>
        <w:rPr>
          <w:rFonts w:ascii="仿宋_GB2312" w:hAnsi="仿宋_GB2312" w:cs="仿宋_GB2312" w:eastAsia="仿宋_GB2312"/>
        </w:rPr>
        <w:t>委托，拟对</w:t>
      </w:r>
      <w:r>
        <w:rPr>
          <w:rFonts w:ascii="仿宋_GB2312" w:hAnsi="仿宋_GB2312" w:cs="仿宋_GB2312" w:eastAsia="仿宋_GB2312"/>
        </w:rPr>
        <w:t>相桥街道神东村省级“千万工程”示范村建设提升项目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HYZB20250067.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相桥街道神东村省级“千万工程”示范村建设提升项目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新建牛舍、包括牛舍地面铺设，混凝土垫层，通道路面建设，修建围栏等工程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采购包1（相桥街道神东村省级“千万工程”示范村建设提升项目）：属于专门面向中小企业采购。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4、供应商资质：须具备建设行政主管部门颁发的建筑工程施工总承包二级及以上资质；具有有效的安全生产许可证</w:t>
      </w:r>
    </w:p>
    <w:p>
      <w:pPr>
        <w:pStyle w:val="null3"/>
      </w:pPr>
      <w:r>
        <w:rPr>
          <w:rFonts w:ascii="仿宋_GB2312" w:hAnsi="仿宋_GB2312" w:cs="仿宋_GB2312" w:eastAsia="仿宋_GB2312"/>
        </w:rPr>
        <w:t>5、项目经理：拟派项目经理须具备建筑工程专业二级及以上注册建造师资格，具备有效的安全生产考核合格证（B证）；且无在建项目（提供无在建项目承诺书）；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临潼区相桥街道办事处经办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029-83961218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994,580.97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相桥街道神东村省级“千万工程”示范村建设提升项目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标的名称：相桥街道神东村省级“千万工程”示范村建设提升项目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须具备建设行政主管部门颁发的建筑工程施工总承包二级及以上资质；具有有效的安全生产许可证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拟派项目经理须具备建筑工程专业二级及以上注册建造师资格，具备有效的安全生产考核合格证（B证）；且无在建项目（提供无在建项目承诺书）；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提供2022年12月至今承接过类似的项目业绩，每提供一份得1分，最高得4分；没有提供不得分。（业绩需提供项目中标通知书或施工合同盖章复印件）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