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版本号：HYZB2025007520251226001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新丰街道刘寨村省级“千万工程”示范村建设提升工程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HYZB20250075</w:t>
      </w:r>
      <w:r>
        <w:br/>
      </w:r>
      <w:r>
        <w:br/>
      </w:r>
      <w:r>
        <w:br/>
      </w:r>
    </w:p>
    <w:p>
      <w:pPr>
        <w:pStyle w:val="null3"/>
        <w:jc w:val="center"/>
        <w:outlineLvl w:val="2"/>
      </w:pPr>
      <w:r>
        <w:rPr>
          <w:rFonts w:ascii="仿宋_GB2312" w:hAnsi="仿宋_GB2312" w:cs="仿宋_GB2312" w:eastAsia="仿宋_GB2312"/>
          <w:sz w:val="28"/>
          <w:b/>
        </w:rPr>
        <w:t>临潼区新丰街道办事处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临潼区新丰街道办事处</w:t>
      </w:r>
      <w:r>
        <w:rPr>
          <w:rFonts w:ascii="仿宋_GB2312" w:hAnsi="仿宋_GB2312" w:cs="仿宋_GB2312" w:eastAsia="仿宋_GB2312"/>
        </w:rPr>
        <w:t>委托，拟对</w:t>
      </w:r>
      <w:r>
        <w:rPr>
          <w:rFonts w:ascii="仿宋_GB2312" w:hAnsi="仿宋_GB2312" w:cs="仿宋_GB2312" w:eastAsia="仿宋_GB2312"/>
        </w:rPr>
        <w:t>新丰街道刘寨村省级“千万工程”示范村建设提升工程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新丰街道刘寨村省级“千万工程”示范村建设提升工程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硬化及部分修复6条产业道路.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采购包1（新丰街道刘寨村省级“千万工程”示范村建设提升工程）：属于专门面向中小企业采购。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3、定代表人授权书或身份证明：提供法定代表人授权书（附法定代表人、被授权人身份证复印件）（法定代表人直接参加投标，须提供法定代表人身份证明）。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4、供应商资质：须具备市政公用工程施工总承包二级以上（含二级）资质；具有有效的安全生产许可证；</w:t>
      </w:r>
    </w:p>
    <w:p>
      <w:pPr>
        <w:pStyle w:val="null3"/>
      </w:pPr>
      <w:r>
        <w:rPr>
          <w:rFonts w:ascii="仿宋_GB2312" w:hAnsi="仿宋_GB2312" w:cs="仿宋_GB2312" w:eastAsia="仿宋_GB2312"/>
        </w:rPr>
        <w:t>5、项目经理要求：拟派项目经理须具备市政公用工程专业二级及以上注册建造师资格，具备有效的安全生产考核合格证（B证）；且无在建项目（提供无在建项目承诺书）。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临潼区新丰街道办事处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临潼区新丰街道庆山路53号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临潼区新丰街道办事处经办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029-81397518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发展改革委关于进一步放开建设项目专业服务价格的通知》（发改价格﹝2015﹞299号）的要求，参照计价格﹝2002﹞1980号、发改价格﹝2011﹞534号文件的计费标准，以中标（成交）价为基数计算，按照标准收取。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临潼区新丰街道办事处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临潼区新丰街道办事处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临潼区新丰街道办事处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989,251.76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新丰街道刘寨村省级“千万工程 ”示范村建设提升工程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标的名称：新丰街道刘寨村省级“千万工程 ”示范村建设提升工程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（4）以最新标准为准。</w:t>
            </w:r>
          </w:p>
          <w:p>
            <w:pPr>
              <w:pStyle w:val="null3"/>
            </w:pPr>
            <w:r>
              <w:rPr>
                <w:rFonts w:ascii="仿宋_GB2312" w:hAnsi="仿宋_GB2312" w:cs="仿宋_GB2312" w:eastAsia="仿宋_GB2312"/>
              </w:rPr>
              <w:t xml:space="preserve"> 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 xml:space="preserve"> 三、本工程所有主要材料必须符合设计要求及国家有关规定，有出厂合格证，经质检部门检验合格。</w:t>
            </w:r>
          </w:p>
          <w:p>
            <w:pPr>
              <w:pStyle w:val="null3"/>
            </w:pPr>
            <w:r>
              <w:rPr>
                <w:rFonts w:ascii="仿宋_GB2312" w:hAnsi="仿宋_GB2312" w:cs="仿宋_GB2312" w:eastAsia="仿宋_GB2312"/>
              </w:rPr>
              <w:t xml:space="preserve"> 四、未尽的工程质量技术要求均按现行国家、省、市有关规范和标准执行。</w:t>
            </w:r>
          </w:p>
          <w:p>
            <w:pPr>
              <w:pStyle w:val="null3"/>
            </w:pPr>
            <w:r>
              <w:rPr>
                <w:rFonts w:ascii="仿宋_GB2312" w:hAnsi="仿宋_GB2312" w:cs="仿宋_GB2312" w:eastAsia="仿宋_GB2312"/>
              </w:rPr>
              <w:t xml:space="preserve"> 五、工程量清单及图纸（另附）。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须具备市政公用工程施工总承包二级以上（含二级）资质；具有有效的安全生产许可证；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拟派项目经理须具备市政公用工程专业二级及以上注册建造师资格，具备有效的安全生产考核合格证（B证）；且无在建项目（提供无在建项目承诺书）。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工程质量、计划工期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技术内容、合同条款及其他商务要求应答表.docx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供应商针对本项目编制施工方案，内容包含：①施工部署；②关键工序的施工方法及实施要点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①施工部署:每完全满足一个评审标准得1 分,满分3 分； ②关键工序的施工方法及实施要点:每完全满足一个评审标准得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一、评审内容： 供应商针对本项目编制项目经理部组成及劳动力投入，内容包含： ①管理机构人员配备及劳动力投入；②机构设置；③职责分工。 二、评审标准 1、完整性:人员配置须全面，满足项目人员需求； 2、落地性:切合本项目实际情况，设置组织机构； 3、针对性:人员职责分工明确紧扣项目实际情况。 三、赋分标准(满分9分) ①管理机构人员配备及劳动力投入:每完全满足一个评审标准得1 分,满分3 分; ②机构设置:每完全满足一个评审标准得1 分，满分3分； ③职责分工:每完全满足一个评审标准得1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项目经理部组成及劳动力投入.docx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供应商针对本项目编制确保安全生产的技术组织措施，内容包含:①安全生产制度；②安全防护措施；③安全教育培训制度。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①安全生产制度:每完全满足一个评审标准得1 分,满分3分; ②安全防护措施:每完全满足一个评审标准得1 分，满分3分； ③安全教育培训制度:每完全满足一个评审标准得1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确保安全生产的技术组织措施.docx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一、评审内容： 供应商针对本项目编制确保工程质量的技术组织措施，内容包含:①质量目标；②工程质量管理体系；③质量管理措施。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①质量目标:每完全满足一个评审标准得1 分，满分3分； ②工程质量管理体系:每完全满足一个评审标准得1 分，满分3 分； ③质量管理措施:每完全满足一个评审标准得1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确保工程质量的技术组织措施.docx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一、评审内容： 供应商针对本项目编制确保文明施工的技术措施及环境保护措施，内容包含:①文明施工管理目标及技术措施；②文明施工现场管理:材料管理、防扰民措施；③环境保护措施。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①文明施工管理目标及技术措施:每完全满足一个评审标准得 1 分,满分 3 分; ②文明施工现场管理:材料管理、防扰民措施:每完全满足一个评审标准得 1 分,满分 3 分; ③环境保护措施:每完全满足一个评审标准得1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确保文明施工的技术措施及环境保护措施.docx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供应商针对本项目编制确保工期的技术组织措施，内容包含:①建立进度控制体系；②资源保障方案；③协调沟通措施。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①建立进度控制体系:每完全满足一个评审标准得1 分,满分3 分; ②资源保障方案:每完全满足一个评审标准得1 分，满分3分； ③协调沟通措施:每完全满足一个评审标准得1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确保工期的技术组织措施.docx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一、评审内容： 供应商针对本项目编制施工机械配备和材料投入计划，内容包含:①施工机械配备；②材料投入计划。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①施工机械配备:每完全满足一个评审标准得1 分,满分3分； ②材料投入计划:每完全满足一个评审标准得1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施工机械设备和材料投入计划.docx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一、评审内容： 供应商针对本项目编制施工承诺，内容包含:①服务过程相关承诺；②建立应急响应机制；③物资与设备的保障。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①服务过程相关承诺：每完全满足一个评审标准得1 分,满分3 分; ②建立应急响应机制:每完全满足一个评审标准得1 分,满分3 分; ③物资与设备的保障:每完全满足一个评审标准得1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施工承诺.docx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提供2022年12月至今承接过类似的项目业绩，每提供一份得1分，最高得4分；没有提供不得分。（业绩需提供项目中标通知书或施工合同盖章复印件）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技术内容、合同条款及其他商务要求应答表.docx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详见附件：项目经理部组成及劳动力投入.docx</w:t>
      </w:r>
    </w:p>
    <w:p>
      <w:pPr>
        <w:pStyle w:val="null3"/>
        <w:ind w:firstLine="960"/>
      </w:pPr>
      <w:r>
        <w:rPr>
          <w:rFonts w:ascii="仿宋_GB2312" w:hAnsi="仿宋_GB2312" w:cs="仿宋_GB2312" w:eastAsia="仿宋_GB2312"/>
        </w:rPr>
        <w:t>详见附件：确保安全生产的技术组织措施.docx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详见附件：确保文明施工的技术措施及环境保护措施.docx</w:t>
      </w:r>
    </w:p>
    <w:p>
      <w:pPr>
        <w:pStyle w:val="null3"/>
        <w:ind w:firstLine="960"/>
      </w:pPr>
      <w:r>
        <w:rPr>
          <w:rFonts w:ascii="仿宋_GB2312" w:hAnsi="仿宋_GB2312" w:cs="仿宋_GB2312" w:eastAsia="仿宋_GB2312"/>
        </w:rPr>
        <w:t>详见附件：确保工期的技术组织措施.docx</w:t>
      </w:r>
    </w:p>
    <w:p>
      <w:pPr>
        <w:pStyle w:val="null3"/>
        <w:ind w:firstLine="960"/>
      </w:pPr>
      <w:r>
        <w:rPr>
          <w:rFonts w:ascii="仿宋_GB2312" w:hAnsi="仿宋_GB2312" w:cs="仿宋_GB2312" w:eastAsia="仿宋_GB2312"/>
        </w:rPr>
        <w:t>详见附件：施工机械设备和材料投入计划.docx</w:t>
      </w:r>
    </w:p>
    <w:p>
      <w:pPr>
        <w:pStyle w:val="null3"/>
        <w:ind w:firstLine="960"/>
      </w:pPr>
      <w:r>
        <w:rPr>
          <w:rFonts w:ascii="仿宋_GB2312" w:hAnsi="仿宋_GB2312" w:cs="仿宋_GB2312" w:eastAsia="仿宋_GB2312"/>
        </w:rPr>
        <w:t>详见附件：施工承诺.docx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详见附件：技术内容、合同条款及其他商务要求应答表.docx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