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版本号：ZXGJLTFGS-2025--02420251226002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照渠村省级“千万工程”示范村建设提升项目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ZXGJLTFGS-2025--024</w:t>
      </w:r>
      <w:r>
        <w:br/>
      </w:r>
      <w:r>
        <w:br/>
      </w:r>
      <w:r>
        <w:br/>
      </w:r>
    </w:p>
    <w:p>
      <w:pPr>
        <w:pStyle w:val="null3"/>
        <w:jc w:val="center"/>
        <w:outlineLvl w:val="2"/>
      </w:pPr>
      <w:r>
        <w:rPr>
          <w:rFonts w:ascii="仿宋_GB2312" w:hAnsi="仿宋_GB2312" w:cs="仿宋_GB2312" w:eastAsia="仿宋_GB2312"/>
          <w:sz w:val="28"/>
          <w:b/>
        </w:rPr>
        <w:t>西安市临潼区雨金街道办事处</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西安市临潼区雨金街道办事处</w:t>
      </w:r>
      <w:r>
        <w:rPr>
          <w:rFonts w:ascii="仿宋_GB2312" w:hAnsi="仿宋_GB2312" w:cs="仿宋_GB2312" w:eastAsia="仿宋_GB2312"/>
        </w:rPr>
        <w:t>委托，拟对</w:t>
      </w:r>
      <w:r>
        <w:rPr>
          <w:rFonts w:ascii="仿宋_GB2312" w:hAnsi="仿宋_GB2312" w:cs="仿宋_GB2312" w:eastAsia="仿宋_GB2312"/>
        </w:rPr>
        <w:t>照渠村省级“千万工程”示范村建设提升项目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照渠村省级“千万工程”示范村建设提升项目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包括修建东照组至合三组U型40灌溉渠长1500米；修建合二组生产路硬化长1290米，宽3.5米，厚18厘米，混凝土道路4537.75平方米。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采购包1（照渠村省级“千万工程”示范村建设提升项目）：属于专门面向中小企业采购。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2、供应商资质要求：供应商须具备建设行政主管部门颁发的市政公用工程施工总承包三级（含三级）以上资质，且具备有效的安全生产许可证；</w:t>
      </w:r>
    </w:p>
    <w:p>
      <w:pPr>
        <w:pStyle w:val="null3"/>
      </w:pPr>
      <w:r>
        <w:rPr>
          <w:rFonts w:ascii="仿宋_GB2312" w:hAnsi="仿宋_GB2312" w:cs="仿宋_GB2312" w:eastAsia="仿宋_GB2312"/>
        </w:rPr>
        <w:t>3、拟派项目经理资质要求：拟派项目经理具备市政公用工程二级及以上注册建造师证书和安全生产考核合格证（B证），在本单位注册且无在建工程（提供无在建工程承诺书）；</w:t>
      </w:r>
    </w:p>
    <w:p>
      <w:pPr>
        <w:pStyle w:val="null3"/>
      </w:pPr>
      <w:r>
        <w:rPr>
          <w:rFonts w:ascii="仿宋_GB2312" w:hAnsi="仿宋_GB2312" w:cs="仿宋_GB2312" w:eastAsia="仿宋_GB2312"/>
        </w:rPr>
        <w:t>4、供应商及拟派项目经理基本信息备案：供应商及拟派项目经理基本信息应在“陕西省住房和城乡建设厅网站（http://js.shaanxi.gov.cn/）陕西省建筑市场监管与诚信信息发布平台”可查询；</w:t>
      </w:r>
    </w:p>
    <w:p>
      <w:pPr>
        <w:pStyle w:val="null3"/>
      </w:pPr>
      <w:r>
        <w:rPr>
          <w:rFonts w:ascii="仿宋_GB2312" w:hAnsi="仿宋_GB2312" w:cs="仿宋_GB2312" w:eastAsia="仿宋_GB2312"/>
        </w:rPr>
        <w:t>5、供应商信用记录：供应商不得为“信用中国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西安市临潼区雨金街道办事处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临潼区雨金街道东关村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02983807729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武蓬勃、王超、王涛、李博飞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采购包1：999,989.58元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代理服务费收费标准：1、招标代理服务费分为招标代理费和造价咨询费，成交单位在领取成交通知书前一次性支付该费用。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2）造价咨询费以最高限价为基数参照《关于我省工程造价咨询服务收费标准有关问题的通知》陕价行发〔2014〕88号标准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西安市临潼区雨金街道办事处</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西安市临潼区雨金街道办事处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西安市临潼区雨金街道办事处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联系人：武蓬勃</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999,989.58</w:t>
      </w:r>
    </w:p>
    <w:p>
      <w:pPr>
        <w:pStyle w:val="null3"/>
      </w:pPr>
      <w:r>
        <w:rPr>
          <w:rFonts w:ascii="仿宋_GB2312" w:hAnsi="仿宋_GB2312" w:cs="仿宋_GB2312" w:eastAsia="仿宋_GB2312"/>
        </w:rPr>
        <w:t>采购包最高限价（元）: 999,989.58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照渠村省级“千万工程”示范村建设提升项目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999,989.58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标的名称：照渠村省级“千万工程”示范村建设提升项目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 xml:space="preserve">  一</w:t>
            </w:r>
            <w:r>
              <w:rPr>
                <w:rFonts w:ascii="仿宋_GB2312" w:hAnsi="仿宋_GB2312" w:cs="仿宋_GB2312" w:eastAsia="仿宋_GB2312"/>
                <w:sz w:val="21"/>
                <w:shd w:fill="FFFFFF" w:val="clear"/>
              </w:rPr>
              <w:t>、</w:t>
            </w:r>
            <w:r>
              <w:rPr>
                <w:rFonts w:ascii="仿宋_GB2312" w:hAnsi="仿宋_GB2312" w:cs="仿宋_GB2312" w:eastAsia="仿宋_GB2312"/>
                <w:sz w:val="21"/>
                <w:b/>
                <w:shd w:fill="FFFFFF" w:val="clear"/>
              </w:rPr>
              <w:t>项目概况</w:t>
            </w:r>
          </w:p>
          <w:p>
            <w:pPr>
              <w:pStyle w:val="null3"/>
              <w:ind w:firstLine="420"/>
              <w:jc w:val="left"/>
            </w:pPr>
            <w:r>
              <w:rPr>
                <w:rFonts w:ascii="仿宋_GB2312" w:hAnsi="仿宋_GB2312" w:cs="仿宋_GB2312" w:eastAsia="仿宋_GB2312"/>
                <w:sz w:val="21"/>
              </w:rPr>
              <w:t>照渠村省级</w:t>
            </w:r>
            <w:r>
              <w:rPr>
                <w:rFonts w:ascii="仿宋_GB2312" w:hAnsi="仿宋_GB2312" w:cs="仿宋_GB2312" w:eastAsia="仿宋_GB2312"/>
                <w:sz w:val="21"/>
              </w:rPr>
              <w:t>“千万工程”示范村建设提升项目，</w:t>
            </w:r>
            <w:r>
              <w:rPr>
                <w:rFonts w:ascii="仿宋_GB2312" w:hAnsi="仿宋_GB2312" w:cs="仿宋_GB2312" w:eastAsia="仿宋_GB2312"/>
                <w:sz w:val="21"/>
              </w:rPr>
              <w:t>包括修建东照组至合三组</w:t>
            </w:r>
            <w:r>
              <w:rPr>
                <w:rFonts w:ascii="仿宋_GB2312" w:hAnsi="仿宋_GB2312" w:cs="仿宋_GB2312" w:eastAsia="仿宋_GB2312"/>
                <w:sz w:val="21"/>
              </w:rPr>
              <w:t>U</w:t>
            </w:r>
            <w:r>
              <w:rPr>
                <w:rFonts w:ascii="仿宋_GB2312" w:hAnsi="仿宋_GB2312" w:cs="仿宋_GB2312" w:eastAsia="仿宋_GB2312"/>
                <w:sz w:val="21"/>
              </w:rPr>
              <w:t>型</w:t>
            </w:r>
            <w:r>
              <w:rPr>
                <w:rFonts w:ascii="仿宋_GB2312" w:hAnsi="仿宋_GB2312" w:cs="仿宋_GB2312" w:eastAsia="仿宋_GB2312"/>
                <w:sz w:val="21"/>
              </w:rPr>
              <w:t>40</w:t>
            </w:r>
            <w:r>
              <w:rPr>
                <w:rFonts w:ascii="仿宋_GB2312" w:hAnsi="仿宋_GB2312" w:cs="仿宋_GB2312" w:eastAsia="仿宋_GB2312"/>
                <w:sz w:val="21"/>
              </w:rPr>
              <w:t>灌溉渠长</w:t>
            </w:r>
            <w:r>
              <w:rPr>
                <w:rFonts w:ascii="仿宋_GB2312" w:hAnsi="仿宋_GB2312" w:cs="仿宋_GB2312" w:eastAsia="仿宋_GB2312"/>
                <w:sz w:val="21"/>
              </w:rPr>
              <w:t>1500</w:t>
            </w:r>
            <w:r>
              <w:rPr>
                <w:rFonts w:ascii="仿宋_GB2312" w:hAnsi="仿宋_GB2312" w:cs="仿宋_GB2312" w:eastAsia="仿宋_GB2312"/>
                <w:sz w:val="21"/>
              </w:rPr>
              <w:t>米；修建合二组生产路</w:t>
            </w:r>
            <w:r>
              <w:rPr>
                <w:rFonts w:ascii="仿宋_GB2312" w:hAnsi="仿宋_GB2312" w:cs="仿宋_GB2312" w:eastAsia="仿宋_GB2312"/>
                <w:sz w:val="21"/>
              </w:rPr>
              <w:t>硬化长</w:t>
            </w:r>
            <w:r>
              <w:rPr>
                <w:rFonts w:ascii="仿宋_GB2312" w:hAnsi="仿宋_GB2312" w:cs="仿宋_GB2312" w:eastAsia="仿宋_GB2312"/>
                <w:sz w:val="21"/>
              </w:rPr>
              <w:t>1290</w:t>
            </w:r>
            <w:r>
              <w:rPr>
                <w:rFonts w:ascii="仿宋_GB2312" w:hAnsi="仿宋_GB2312" w:cs="仿宋_GB2312" w:eastAsia="仿宋_GB2312"/>
                <w:sz w:val="21"/>
              </w:rPr>
              <w:t>米，宽</w:t>
            </w:r>
            <w:r>
              <w:rPr>
                <w:rFonts w:ascii="仿宋_GB2312" w:hAnsi="仿宋_GB2312" w:cs="仿宋_GB2312" w:eastAsia="仿宋_GB2312"/>
                <w:sz w:val="21"/>
              </w:rPr>
              <w:t>3.5</w:t>
            </w:r>
            <w:r>
              <w:rPr>
                <w:rFonts w:ascii="仿宋_GB2312" w:hAnsi="仿宋_GB2312" w:cs="仿宋_GB2312" w:eastAsia="仿宋_GB2312"/>
                <w:sz w:val="21"/>
              </w:rPr>
              <w:t>米，厚</w:t>
            </w:r>
            <w:r>
              <w:rPr>
                <w:rFonts w:ascii="仿宋_GB2312" w:hAnsi="仿宋_GB2312" w:cs="仿宋_GB2312" w:eastAsia="仿宋_GB2312"/>
                <w:sz w:val="21"/>
              </w:rPr>
              <w:t>18</w:t>
            </w:r>
            <w:r>
              <w:rPr>
                <w:rFonts w:ascii="仿宋_GB2312" w:hAnsi="仿宋_GB2312" w:cs="仿宋_GB2312" w:eastAsia="仿宋_GB2312"/>
                <w:sz w:val="21"/>
              </w:rPr>
              <w:t>厘米，混凝土道路</w:t>
            </w:r>
            <w:r>
              <w:rPr>
                <w:rFonts w:ascii="仿宋_GB2312" w:hAnsi="仿宋_GB2312" w:cs="仿宋_GB2312" w:eastAsia="仿宋_GB2312"/>
                <w:sz w:val="21"/>
              </w:rPr>
              <w:t>4537.75</w:t>
            </w:r>
            <w:r>
              <w:rPr>
                <w:rFonts w:ascii="仿宋_GB2312" w:hAnsi="仿宋_GB2312" w:cs="仿宋_GB2312" w:eastAsia="仿宋_GB2312"/>
                <w:sz w:val="21"/>
              </w:rPr>
              <w:t>平方米。</w:t>
            </w:r>
          </w:p>
          <w:p>
            <w:pPr>
              <w:pStyle w:val="null3"/>
              <w:ind w:firstLine="420"/>
              <w:jc w:val="left"/>
            </w:pPr>
            <w:r>
              <w:rPr>
                <w:rFonts w:ascii="仿宋_GB2312" w:hAnsi="仿宋_GB2312" w:cs="仿宋_GB2312" w:eastAsia="仿宋_GB2312"/>
                <w:sz w:val="21"/>
                <w:b/>
              </w:rPr>
              <w:t>二、</w:t>
            </w:r>
            <w:r>
              <w:rPr>
                <w:rFonts w:ascii="仿宋_GB2312" w:hAnsi="仿宋_GB2312" w:cs="仿宋_GB2312" w:eastAsia="仿宋_GB2312"/>
                <w:sz w:val="21"/>
                <w:b/>
              </w:rPr>
              <w:t>工程地点：</w:t>
            </w:r>
            <w:r>
              <w:rPr>
                <w:rFonts w:ascii="仿宋_GB2312" w:hAnsi="仿宋_GB2312" w:cs="仿宋_GB2312" w:eastAsia="仿宋_GB2312"/>
                <w:sz w:val="21"/>
              </w:rPr>
              <w:t>雨金街道照渠村</w:t>
            </w:r>
          </w:p>
          <w:p>
            <w:pPr>
              <w:pStyle w:val="null3"/>
              <w:ind w:firstLine="420"/>
              <w:jc w:val="left"/>
            </w:pPr>
            <w:r>
              <w:rPr>
                <w:rFonts w:ascii="仿宋_GB2312" w:hAnsi="仿宋_GB2312" w:cs="仿宋_GB2312" w:eastAsia="仿宋_GB2312"/>
                <w:sz w:val="21"/>
                <w:b/>
              </w:rPr>
              <w:t>三、计划工期：</w:t>
            </w:r>
            <w:r>
              <w:rPr>
                <w:rFonts w:ascii="仿宋_GB2312" w:hAnsi="仿宋_GB2312" w:cs="仿宋_GB2312" w:eastAsia="仿宋_GB2312"/>
                <w:sz w:val="21"/>
              </w:rPr>
              <w:t>自合同签订之日起</w:t>
            </w:r>
            <w:r>
              <w:rPr>
                <w:rFonts w:ascii="仿宋_GB2312" w:hAnsi="仿宋_GB2312" w:cs="仿宋_GB2312" w:eastAsia="仿宋_GB2312"/>
                <w:sz w:val="21"/>
              </w:rPr>
              <w:t>60</w:t>
            </w:r>
            <w:r>
              <w:rPr>
                <w:rFonts w:ascii="仿宋_GB2312" w:hAnsi="仿宋_GB2312" w:cs="仿宋_GB2312" w:eastAsia="仿宋_GB2312"/>
                <w:sz w:val="21"/>
              </w:rPr>
              <w:t>个日历天</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b/>
              </w:rPr>
              <w:t>四、质保期：</w:t>
            </w:r>
            <w:r>
              <w:rPr>
                <w:rFonts w:ascii="仿宋_GB2312" w:hAnsi="仿宋_GB2312" w:cs="仿宋_GB2312" w:eastAsia="仿宋_GB2312"/>
                <w:sz w:val="21"/>
              </w:rPr>
              <w:t>一年。</w:t>
            </w:r>
          </w:p>
          <w:p>
            <w:pPr>
              <w:pStyle w:val="null3"/>
              <w:ind w:firstLine="420"/>
              <w:jc w:val="left"/>
            </w:pPr>
            <w:r>
              <w:rPr>
                <w:rFonts w:ascii="仿宋_GB2312" w:hAnsi="仿宋_GB2312" w:cs="仿宋_GB2312" w:eastAsia="仿宋_GB2312"/>
                <w:sz w:val="21"/>
                <w:b/>
                <w:shd w:fill="FFFFFF" w:val="clear"/>
              </w:rPr>
              <w:t>五、工程量清单和计价依据</w:t>
            </w:r>
          </w:p>
          <w:p>
            <w:pPr>
              <w:pStyle w:val="null3"/>
              <w:ind w:firstLine="420"/>
              <w:jc w:val="left"/>
            </w:pPr>
            <w:r>
              <w:rPr>
                <w:rFonts w:ascii="仿宋_GB2312" w:hAnsi="仿宋_GB2312" w:cs="仿宋_GB2312" w:eastAsia="仿宋_GB2312"/>
                <w:sz w:val="21"/>
                <w:shd w:fill="FFFFFF" w:val="clear"/>
              </w:rPr>
              <w:t>（一）计价依据：</w:t>
            </w:r>
          </w:p>
          <w:p>
            <w:pPr>
              <w:pStyle w:val="null3"/>
              <w:ind w:firstLine="420"/>
              <w:jc w:val="left"/>
            </w:pPr>
            <w:r>
              <w:rPr>
                <w:rFonts w:ascii="仿宋_GB2312" w:hAnsi="仿宋_GB2312" w:cs="仿宋_GB2312" w:eastAsia="仿宋_GB2312"/>
                <w:sz w:val="21"/>
                <w:shd w:fill="FFFFFF" w:val="clear"/>
              </w:rPr>
              <w:t>1、国家标准及行业标准相关图集；</w:t>
            </w:r>
          </w:p>
          <w:p>
            <w:pPr>
              <w:pStyle w:val="null3"/>
              <w:ind w:firstLine="420"/>
              <w:jc w:val="left"/>
            </w:pPr>
            <w:r>
              <w:rPr>
                <w:rFonts w:ascii="仿宋_GB2312" w:hAnsi="仿宋_GB2312" w:cs="仿宋_GB2312" w:eastAsia="仿宋_GB2312"/>
                <w:sz w:val="21"/>
                <w:shd w:fill="FFFFFF" w:val="clear"/>
              </w:rPr>
              <w:t>2、材料价格选用《临潼区工程造价信息》2025 年10月及《陕西省工程造价管理信息》2025 年11月或现行市场调查价格计算；</w:t>
            </w:r>
          </w:p>
          <w:p>
            <w:pPr>
              <w:pStyle w:val="null3"/>
              <w:ind w:firstLine="420"/>
              <w:jc w:val="left"/>
            </w:pPr>
            <w:r>
              <w:rPr>
                <w:rFonts w:ascii="仿宋_GB2312" w:hAnsi="仿宋_GB2312" w:cs="仿宋_GB2312" w:eastAsia="仿宋_GB2312"/>
                <w:sz w:val="21"/>
                <w:shd w:fill="FFFFFF" w:val="clear"/>
              </w:rPr>
              <w:t>3、本工程采用现行：</w:t>
            </w:r>
          </w:p>
          <w:p>
            <w:pPr>
              <w:pStyle w:val="null3"/>
              <w:ind w:firstLine="420"/>
              <w:jc w:val="left"/>
            </w:pPr>
            <w:r>
              <w:rPr>
                <w:rFonts w:ascii="仿宋_GB2312" w:hAnsi="仿宋_GB2312" w:cs="仿宋_GB2312" w:eastAsia="仿宋_GB2312"/>
                <w:sz w:val="21"/>
                <w:shd w:fill="FFFFFF" w:val="clear"/>
              </w:rPr>
              <w:t>《陕西省建设工程工程量清单计价规则（</w:t>
            </w:r>
            <w:r>
              <w:rPr>
                <w:rFonts w:ascii="仿宋_GB2312" w:hAnsi="仿宋_GB2312" w:cs="仿宋_GB2312" w:eastAsia="仿宋_GB2312"/>
                <w:sz w:val="21"/>
                <w:shd w:fill="FFFFFF" w:val="clear"/>
              </w:rPr>
              <w:t>2025）》；</w:t>
            </w:r>
          </w:p>
          <w:p>
            <w:pPr>
              <w:pStyle w:val="null3"/>
              <w:ind w:firstLine="420"/>
              <w:jc w:val="left"/>
            </w:pPr>
            <w:r>
              <w:rPr>
                <w:rFonts w:ascii="仿宋_GB2312" w:hAnsi="仿宋_GB2312" w:cs="仿宋_GB2312" w:eastAsia="仿宋_GB2312"/>
                <w:sz w:val="21"/>
                <w:shd w:fill="FFFFFF" w:val="clear"/>
              </w:rPr>
              <w:t>《陕西省市政工程基价表（</w:t>
            </w:r>
            <w:r>
              <w:rPr>
                <w:rFonts w:ascii="仿宋_GB2312" w:hAnsi="仿宋_GB2312" w:cs="仿宋_GB2312" w:eastAsia="仿宋_GB2312"/>
                <w:sz w:val="21"/>
                <w:shd w:fill="FFFFFF" w:val="clear"/>
              </w:rPr>
              <w:t>2025）》；</w:t>
            </w:r>
          </w:p>
          <w:p>
            <w:pPr>
              <w:pStyle w:val="null3"/>
              <w:ind w:firstLine="420"/>
              <w:jc w:val="left"/>
            </w:pPr>
            <w:r>
              <w:rPr>
                <w:rFonts w:ascii="仿宋_GB2312" w:hAnsi="仿宋_GB2312" w:cs="仿宋_GB2312" w:eastAsia="仿宋_GB2312"/>
                <w:sz w:val="21"/>
                <w:shd w:fill="FFFFFF" w:val="clear"/>
              </w:rPr>
              <w:t>4、税金执行陕建发【2019】45号文件；</w:t>
            </w:r>
          </w:p>
          <w:p>
            <w:pPr>
              <w:pStyle w:val="null3"/>
              <w:ind w:firstLine="420"/>
              <w:jc w:val="left"/>
            </w:pPr>
            <w:r>
              <w:rPr>
                <w:rFonts w:ascii="仿宋_GB2312" w:hAnsi="仿宋_GB2312" w:cs="仿宋_GB2312" w:eastAsia="仿宋_GB2312"/>
                <w:sz w:val="21"/>
                <w:shd w:fill="FFFFFF" w:val="clear"/>
              </w:rPr>
              <w:t>5、人工费执行陕建发【2021】1097号文件；</w:t>
            </w:r>
          </w:p>
          <w:p>
            <w:pPr>
              <w:pStyle w:val="null3"/>
              <w:ind w:firstLine="420"/>
              <w:jc w:val="left"/>
            </w:pPr>
            <w:r>
              <w:rPr>
                <w:rFonts w:ascii="仿宋_GB2312" w:hAnsi="仿宋_GB2312" w:cs="仿宋_GB2312" w:eastAsia="仿宋_GB2312"/>
                <w:sz w:val="21"/>
                <w:shd w:fill="FFFFFF" w:val="clear"/>
              </w:rPr>
              <w:t>6、关于建筑施工安全生产责任保险费用计价执行陕建发【2020】1097号文件。</w:t>
            </w:r>
          </w:p>
          <w:p>
            <w:pPr>
              <w:pStyle w:val="null3"/>
              <w:ind w:firstLine="420"/>
              <w:jc w:val="left"/>
            </w:pPr>
            <w:r>
              <w:rPr>
                <w:rFonts w:ascii="仿宋_GB2312" w:hAnsi="仿宋_GB2312" w:cs="仿宋_GB2312" w:eastAsia="仿宋_GB2312"/>
                <w:sz w:val="21"/>
                <w:shd w:fill="FFFFFF" w:val="clear"/>
              </w:rPr>
              <w:t>（二）其他说明</w:t>
            </w:r>
          </w:p>
          <w:p>
            <w:pPr>
              <w:pStyle w:val="null3"/>
              <w:ind w:firstLine="420"/>
              <w:jc w:val="left"/>
            </w:pPr>
            <w:r>
              <w:rPr>
                <w:rFonts w:ascii="仿宋_GB2312" w:hAnsi="仿宋_GB2312" w:cs="仿宋_GB2312" w:eastAsia="仿宋_GB2312"/>
                <w:sz w:val="21"/>
                <w:shd w:fill="FFFFFF" w:val="clear"/>
              </w:rPr>
              <w:t>1、该招标最高限价为含增值税工程造价；</w:t>
            </w:r>
          </w:p>
          <w:p>
            <w:pPr>
              <w:pStyle w:val="null3"/>
              <w:ind w:firstLine="420"/>
              <w:jc w:val="left"/>
            </w:pPr>
            <w:r>
              <w:rPr>
                <w:rFonts w:ascii="仿宋_GB2312" w:hAnsi="仿宋_GB2312" w:cs="仿宋_GB2312" w:eastAsia="仿宋_GB2312"/>
                <w:sz w:val="21"/>
                <w:shd w:fill="FFFFFF" w:val="clear"/>
              </w:rPr>
              <w:t>2、编制软件：采用广联达云计价平台 GCCP7.0，内核版本： 7.5000.23.2。</w:t>
            </w:r>
          </w:p>
          <w:p>
            <w:pPr>
              <w:pStyle w:val="null3"/>
            </w:pPr>
            <w:r>
              <w:rPr>
                <w:rFonts w:ascii="仿宋_GB2312" w:hAnsi="仿宋_GB2312" w:cs="仿宋_GB2312" w:eastAsia="仿宋_GB2312"/>
                <w:sz w:val="21"/>
                <w:b/>
              </w:rPr>
              <w:t xml:space="preserve">  六</w:t>
            </w:r>
            <w:r>
              <w:rPr>
                <w:rFonts w:ascii="仿宋_GB2312" w:hAnsi="仿宋_GB2312" w:cs="仿宋_GB2312" w:eastAsia="仿宋_GB2312"/>
                <w:sz w:val="21"/>
                <w:b/>
              </w:rPr>
              <w:t>、施工要求</w:t>
            </w:r>
          </w:p>
          <w:p>
            <w:pPr>
              <w:pStyle w:val="null3"/>
            </w:pPr>
            <w:r>
              <w:rPr>
                <w:rFonts w:ascii="仿宋_GB2312" w:hAnsi="仿宋_GB2312" w:cs="仿宋_GB2312" w:eastAsia="仿宋_GB2312"/>
                <w:sz w:val="21"/>
              </w:rPr>
              <w:t xml:space="preserve">  在施工期间，中标供应商必须注意人员安全，加强安全措施，并定期对施工人员进行安全教育，且施工人员必须持证上岗。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拟派项目经理具备市政公用工程二级及以上注册建造师证书和安全生产考核合格证（B证），在本单位注册且无在建工程（提供无在建工程承诺书）；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供应商及拟派项目经理基本信息备案</w:t>
            </w:r>
          </w:p>
        </w:tc>
        <w:tc>
          <w:tcPr>
            <w:tcW w:type="dxa" w:w="3322"/>
          </w:tcPr>
          <w:p>
            <w:pPr>
              <w:pStyle w:val="null3"/>
            </w:pPr>
            <w:r>
              <w:rPr>
                <w:rFonts w:ascii="仿宋_GB2312" w:hAnsi="仿宋_GB2312" w:cs="仿宋_GB2312" w:eastAsia="仿宋_GB2312"/>
              </w:rPr>
              <w:t>供应商及拟派项目经理基本信息应在“陕西省住房和城乡建设厅网站（http://js.shaanxi.gov.cn/）陕西省建筑市场监管与诚信信息发布平台”可查询；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（2）响应文件格式：符合磋商文件“第七章 响应文件格式”的规定 ； （3）报价唯一：只能有一个有效报价，不得提交选择性报价，且报价不超过磋商文件规定的采购预算金额及最高限价。</w:t>
            </w:r>
          </w:p>
        </w:tc>
        <w:tc>
          <w:tcPr>
            <w:tcW w:type="dxa" w:w="1661"/>
          </w:tcPr>
          <w:p>
            <w:pPr>
              <w:pStyle w:val="null3"/>
            </w:pPr>
            <w:r>
              <w:rPr>
                <w:rFonts w:ascii="仿宋_GB2312" w:hAnsi="仿宋_GB2312" w:cs="仿宋_GB2312" w:eastAsia="仿宋_GB2312"/>
              </w:rPr>
              <w:t>响应文件封面 业绩一览表.docx 已标价工程量清单 中小企业声明函 残疾人福利性单位声明函 报价函 标的清单 供应商拒绝政府采购领域商业贿赂承诺书.docx 响应函 施工组织设计.docx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施工部署及准备</w:t>
            </w:r>
          </w:p>
        </w:tc>
        <w:tc>
          <w:tcPr>
            <w:tcW w:type="dxa" w:w="2492"/>
          </w:tcPr>
          <w:p>
            <w:pPr>
              <w:pStyle w:val="null3"/>
            </w:pPr>
            <w:r>
              <w:rPr>
                <w:rFonts w:ascii="仿宋_GB2312" w:hAnsi="仿宋_GB2312" w:cs="仿宋_GB2312" w:eastAsia="仿宋_GB2312"/>
              </w:rPr>
              <w:t>供应商针对本项目编制完善的施工部署及准备；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分部分项施工方法</w:t>
            </w:r>
          </w:p>
        </w:tc>
        <w:tc>
          <w:tcPr>
            <w:tcW w:type="dxa" w:w="2492"/>
          </w:tcPr>
          <w:p>
            <w:pPr>
              <w:pStyle w:val="null3"/>
            </w:pPr>
            <w:r>
              <w:rPr>
                <w:rFonts w:ascii="仿宋_GB2312" w:hAnsi="仿宋_GB2312" w:cs="仿宋_GB2312" w:eastAsia="仿宋_GB2312"/>
              </w:rPr>
              <w:t>供应商针对本项目编制完善的分部分项施工方法；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确保项目质量的技术组织措施</w:t>
            </w:r>
          </w:p>
        </w:tc>
        <w:tc>
          <w:tcPr>
            <w:tcW w:type="dxa" w:w="2492"/>
          </w:tcPr>
          <w:p>
            <w:pPr>
              <w:pStyle w:val="null3"/>
            </w:pPr>
            <w:r>
              <w:rPr>
                <w:rFonts w:ascii="仿宋_GB2312" w:hAnsi="仿宋_GB2312" w:cs="仿宋_GB2312" w:eastAsia="仿宋_GB2312"/>
              </w:rPr>
              <w:t>针对本项目有确保项目质量的技术组织措施；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针对本项目有切实可行的确保安全施工的技术组织措施；①措施内容全面、具体、科学，可行性强，得6分；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针对本项目有具体、可行的文明施工的技术组织措施；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针对本项目有具体、可行的环境保护的技术组织措施（包含治污减霾措施）；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针对本项目有具体、可行的确保工期的技术组织措施；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根据本项目的具体情况，设置合理的进度控制点，制定周到、全面、具体的进度计划，能够充分考虑计划，均衡资源，满足工期和质量。 ①进度计划全面、科学、合理性强，得6分； ②进度计划相对全面、科学、合理性较强，得5分； ③进度计划基本全面、较科学、有一定的合理性，得4分； ④进度计划不够全面、科学、合理性相对较弱，得3分； ⑤进度计划笼统，合理性有待考究的，得2分； ⑥进度计划不全面、科学、合理性较差，得1分；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拟投入的主要设备及劳动力配备情况</w:t>
            </w:r>
          </w:p>
        </w:tc>
        <w:tc>
          <w:tcPr>
            <w:tcW w:type="dxa" w:w="2492"/>
          </w:tcPr>
          <w:p>
            <w:pPr>
              <w:pStyle w:val="null3"/>
            </w:pPr>
            <w:r>
              <w:rPr>
                <w:rFonts w:ascii="仿宋_GB2312" w:hAnsi="仿宋_GB2312" w:cs="仿宋_GB2312" w:eastAsia="仿宋_GB2312"/>
              </w:rPr>
              <w:t>①针对本项目拟投入的主要设备及劳动力配备情况，充足、完备、先进、可行的，得6分； ②针对本项目拟投入的主要设备及劳动力配备情况，较为先进、合理可行，得5分； ③针对本项目拟投入的主要设备及劳动力配备情况，相对先进、相对合理可行，得4分； ④针对本项目拟投入的主要设备及劳动力配备情况、设备及劳动力配备，较先进、基本合理可行，得3分； ⑤针对本项目拟投入的主要设备及劳动力配备情况，不够合理可行，得2分； ⑥针对本项目拟投入的主要设备及劳动力配备情况，不合理，需在采购人要求下完善后才能实施的，得1分；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项目管理机构组织结构合理，技术人员配置（专职安全员、施工员、资料员、质量员、材料员等）齐全，责任明确；①针对本项目拟投入项目经理部组成人员结构合理，人员配备齐全，责任明确，佐证材料齐全得6分； ②针对本项目拟投入项目经理部组成人员结构相对合理，人员配备相对齐全，责任相对明确，有相关佐证材料得5分； ③针对本项目拟投入项目经理部组成人员结构基本合理，人员配备基本齐全，责任基本明确，有相关佐证材料得4分； ④针对本项目拟投入项目经理部组成人员结构不够合理，人员配备不够齐全，责任不太明确，相关佐证材料缺失得3分； ⑤针对本项目拟投入项目经理部组成人员内容笼统，可行性有待考究的，得2分； ⑥针对本项目拟投入项目经理部组成人员结构不合理，人员配备不齐全，责任不明确，相关佐证材料缺失得1分；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包括工程维修服务承诺、保修措施和响应时限、发生质量问题后的补救措施。 ①针对本项目的质量保修承诺，响应全面完整，描述详细，步骤清晰；可实施性强，紧扣项目实际情况的得4分； ②针对本项目的质量保修承诺，响应基本完整、可行，描述有轻微缺陷但不影响具体实施的得3分； ③针对本项目的质量保修承诺，内容不够合理、可行，不能满足项目要求的得2分； ④针对本项目的质量保修承诺，内容差且不切合实际情况的得1分； ⑤无内容不得分。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提供2022年12月1日至截标时间前类似项目业绩（以合同或中标通知书为准，须在磋商响应文件中附以上证明材料的扫描件加盖单位公章，每份合格业绩计2分，满分6分。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