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3A10">
      <w:pPr>
        <w:spacing w:before="78" w:line="219" w:lineRule="auto"/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7"/>
          <w:sz w:val="24"/>
          <w:szCs w:val="24"/>
        </w:rPr>
        <w:t>（本合同只做参考使用，具体以</w:t>
      </w:r>
      <w:r>
        <w:rPr>
          <w:rFonts w:hint="eastAsia" w:ascii="黑体" w:hAnsi="黑体" w:eastAsia="黑体" w:cs="黑体"/>
          <w:spacing w:val="-7"/>
          <w:sz w:val="24"/>
          <w:szCs w:val="24"/>
          <w:lang w:val="en-US" w:eastAsia="zh-CN"/>
        </w:rPr>
        <w:t>成交</w:t>
      </w:r>
      <w:r>
        <w:rPr>
          <w:rFonts w:hint="eastAsia" w:ascii="黑体" w:hAnsi="黑体" w:eastAsia="黑体" w:cs="黑体"/>
          <w:spacing w:val="-7"/>
          <w:sz w:val="24"/>
          <w:szCs w:val="24"/>
        </w:rPr>
        <w:t>后与采购单位签订合同为准）</w:t>
      </w:r>
    </w:p>
    <w:p w14:paraId="153746EB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38DD4AF1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27671456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  <w:r>
        <w:rPr>
          <w:rFonts w:hint="eastAsia" w:ascii="黑体" w:hAnsi="黑体" w:eastAsia="黑体" w:cs="黑体"/>
          <w:b/>
          <w:bCs/>
          <w:sz w:val="70"/>
          <w:szCs w:val="70"/>
        </w:rPr>
        <w:t>技术服务合同书</w:t>
      </w:r>
    </w:p>
    <w:p w14:paraId="3C784711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72ED3A78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4A28B780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0C705DE9">
      <w:pPr>
        <w:pStyle w:val="4"/>
        <w:jc w:val="center"/>
        <w:rPr>
          <w:rFonts w:hint="eastAsia" w:ascii="黑体" w:hAnsi="黑体" w:eastAsia="黑体" w:cs="黑体"/>
          <w:b/>
          <w:bCs/>
          <w:sz w:val="70"/>
          <w:szCs w:val="70"/>
        </w:rPr>
      </w:pPr>
    </w:p>
    <w:p w14:paraId="77DCC96C">
      <w:pPr>
        <w:spacing w:line="221" w:lineRule="auto"/>
        <w:ind w:left="1150"/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项 目 名 称：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      </w:t>
      </w:r>
    </w:p>
    <w:p w14:paraId="7CB0C265">
      <w:pPr>
        <w:spacing w:line="221" w:lineRule="auto"/>
        <w:ind w:left="1150"/>
        <w:rPr>
          <w:rFonts w:hint="eastAsia" w:ascii="黑体" w:hAnsi="黑体" w:eastAsia="黑体" w:cs="黑体"/>
          <w:spacing w:val="-11"/>
          <w:sz w:val="30"/>
          <w:szCs w:val="30"/>
        </w:rPr>
      </w:pPr>
      <w:r>
        <w:rPr>
          <w:rFonts w:hint="eastAsia" w:ascii="黑体" w:hAnsi="黑体" w:eastAsia="黑体" w:cs="黑体"/>
          <w:spacing w:val="-11"/>
          <w:sz w:val="30"/>
          <w:szCs w:val="30"/>
        </w:rPr>
        <w:t>委托方(甲方)：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      </w:t>
      </w:r>
    </w:p>
    <w:p w14:paraId="4C8DA048">
      <w:pPr>
        <w:spacing w:line="221" w:lineRule="auto"/>
        <w:ind w:left="1150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pacing w:val="-3"/>
          <w:sz w:val="30"/>
          <w:szCs w:val="30"/>
        </w:rPr>
        <w:t>受托方(乙方)：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      </w:t>
      </w:r>
    </w:p>
    <w:p w14:paraId="4D4250A7">
      <w:pPr>
        <w:spacing w:before="97" w:line="222" w:lineRule="auto"/>
        <w:ind w:left="1144"/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</w:pPr>
      <w:r>
        <w:rPr>
          <w:rFonts w:hint="eastAsia" w:ascii="黑体" w:hAnsi="黑体" w:eastAsia="黑体" w:cs="黑体"/>
          <w:spacing w:val="-18"/>
          <w:sz w:val="30"/>
          <w:szCs w:val="30"/>
        </w:rPr>
        <w:t>签</w:t>
      </w:r>
      <w:r>
        <w:rPr>
          <w:rFonts w:hint="eastAsia" w:ascii="黑体" w:hAnsi="黑体" w:eastAsia="黑体" w:cs="黑体"/>
          <w:spacing w:val="15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18"/>
          <w:sz w:val="30"/>
          <w:szCs w:val="30"/>
        </w:rPr>
        <w:t>订</w:t>
      </w:r>
      <w:r>
        <w:rPr>
          <w:rFonts w:hint="eastAsia" w:ascii="黑体" w:hAnsi="黑体" w:eastAsia="黑体" w:cs="黑体"/>
          <w:spacing w:val="27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18"/>
          <w:sz w:val="30"/>
          <w:szCs w:val="30"/>
        </w:rPr>
        <w:t>时</w:t>
      </w:r>
      <w:r>
        <w:rPr>
          <w:rFonts w:hint="eastAsia" w:ascii="黑体" w:hAnsi="黑体" w:eastAsia="黑体" w:cs="黑体"/>
          <w:spacing w:val="34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18"/>
          <w:sz w:val="30"/>
          <w:szCs w:val="30"/>
        </w:rPr>
        <w:t>间：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       </w:t>
      </w:r>
    </w:p>
    <w:p w14:paraId="3F6C0A9C">
      <w:pP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br w:type="page"/>
      </w:r>
    </w:p>
    <w:p w14:paraId="64C91DCF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 w14:paraId="2F2E23D5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委托方(甲方):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</w:p>
    <w:p w14:paraId="5510D37D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受托方(乙方):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                 </w:t>
      </w:r>
    </w:p>
    <w:p w14:paraId="5F1CDCA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依据《中华人民共和国民法典》、《中华人民共和国政府采购法》等相关法律、法规之规定。按照政府采购程序，在平等、 自愿、协商一致的基础上就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签订本采购合同，以资共同遵循，达成如下合同条款：</w:t>
      </w:r>
    </w:p>
    <w:p w14:paraId="4CD63F9D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一、项目概况：</w:t>
      </w:r>
    </w:p>
    <w:p w14:paraId="508AEEC1">
      <w:pPr>
        <w:spacing w:line="360" w:lineRule="auto"/>
        <w:ind w:firstLine="48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1、项目名称：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</w:p>
    <w:p w14:paraId="01801563">
      <w:pPr>
        <w:spacing w:line="360" w:lineRule="auto"/>
        <w:ind w:firstLine="48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2、服务内容：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</w:p>
    <w:p w14:paraId="37E21400">
      <w:pPr>
        <w:spacing w:line="360" w:lineRule="auto"/>
        <w:ind w:firstLine="48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3、项目地点：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</w:p>
    <w:p w14:paraId="134EB256">
      <w:pPr>
        <w:spacing w:line="360" w:lineRule="auto"/>
        <w:ind w:firstLine="48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4、服务期限：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</w:p>
    <w:p w14:paraId="2C0647BF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5、项目负责人：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 xml:space="preserve">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，证书编号：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 xml:space="preserve">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。</w:t>
      </w:r>
    </w:p>
    <w:p w14:paraId="68FCBBAB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6、下列文件应视为构成合同文件的组成部分：</w:t>
      </w:r>
    </w:p>
    <w:p w14:paraId="751CF7A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(1)本合同书及各种合同附件(含评标期间和磋商过程中的澄清文件和补充资料)；</w:t>
      </w:r>
    </w:p>
    <w:p w14:paraId="29CB67C2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(2)成交通知书；</w:t>
      </w:r>
    </w:p>
    <w:p w14:paraId="284F761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(3)磋商文件、磋商响应文件等；上述文件互相补充和解释。</w:t>
      </w:r>
    </w:p>
    <w:p w14:paraId="1213B7C6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二、合同价款</w:t>
      </w:r>
    </w:p>
    <w:p w14:paraId="0792EB49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合同（暂定）总价为：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人民币（大写）              (¥         元）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。</w:t>
      </w:r>
    </w:p>
    <w:p w14:paraId="07E00166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三、支付方式与结算</w:t>
      </w:r>
    </w:p>
    <w:p w14:paraId="161DC19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1.付款方式：乙方完成初步工作内容，并顺利上报上级单位后，甲方向乙方支付所涉及批次40%的项目款；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乙方完成所有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续工作并将成果资料全部移交后，甲方向乙方支付所涉及批次100%的项目款。</w:t>
      </w:r>
    </w:p>
    <w:p w14:paraId="50028946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2.结算方式：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西安市临潼区气象局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负责结算，发票开至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西安市临潼区气象局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。（乙方必须在税务部门开具真实有效的正式发票）</w:t>
      </w:r>
    </w:p>
    <w:p w14:paraId="7F49FDE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3.成交单价：</w:t>
      </w:r>
    </w:p>
    <w:tbl>
      <w:tblPr>
        <w:tblStyle w:val="6"/>
        <w:tblW w:w="93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3577"/>
        <w:gridCol w:w="2656"/>
        <w:gridCol w:w="2336"/>
      </w:tblGrid>
      <w:tr w14:paraId="79EAF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27" w:type="dxa"/>
            <w:noWrap w:val="0"/>
            <w:vAlign w:val="top"/>
          </w:tcPr>
          <w:p w14:paraId="7D55D65B">
            <w:pPr>
              <w:pStyle w:val="5"/>
              <w:spacing w:before="78" w:line="222" w:lineRule="auto"/>
              <w:ind w:left="17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</w:rPr>
              <w:t>序号</w:t>
            </w:r>
          </w:p>
        </w:tc>
        <w:tc>
          <w:tcPr>
            <w:tcW w:w="3577" w:type="dxa"/>
            <w:noWrap w:val="0"/>
            <w:vAlign w:val="top"/>
          </w:tcPr>
          <w:p w14:paraId="5D56A991">
            <w:pPr>
              <w:pStyle w:val="5"/>
              <w:spacing w:before="78" w:line="221" w:lineRule="auto"/>
              <w:ind w:left="132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2"/>
              </w:rPr>
              <w:t>项目分项</w:t>
            </w:r>
          </w:p>
        </w:tc>
        <w:tc>
          <w:tcPr>
            <w:tcW w:w="2656" w:type="dxa"/>
            <w:noWrap w:val="0"/>
            <w:vAlign w:val="top"/>
          </w:tcPr>
          <w:p w14:paraId="4D0F1D9C">
            <w:pPr>
              <w:pStyle w:val="5"/>
              <w:spacing w:before="78" w:line="220" w:lineRule="auto"/>
              <w:ind w:left="38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</w:rPr>
              <w:t>金额（元）</w:t>
            </w:r>
          </w:p>
        </w:tc>
        <w:tc>
          <w:tcPr>
            <w:tcW w:w="2336" w:type="dxa"/>
            <w:noWrap w:val="0"/>
            <w:vAlign w:val="top"/>
          </w:tcPr>
          <w:p w14:paraId="5ED0E1FB">
            <w:pPr>
              <w:pStyle w:val="5"/>
              <w:spacing w:before="78" w:line="222" w:lineRule="auto"/>
              <w:ind w:left="9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</w:rPr>
              <w:t>备注</w:t>
            </w:r>
          </w:p>
        </w:tc>
      </w:tr>
      <w:tr w14:paraId="2DA21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27" w:type="dxa"/>
            <w:noWrap w:val="0"/>
            <w:vAlign w:val="top"/>
          </w:tcPr>
          <w:p w14:paraId="262AB602">
            <w:pPr>
              <w:pStyle w:val="5"/>
              <w:spacing w:before="78" w:line="242" w:lineRule="auto"/>
              <w:ind w:left="38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3577" w:type="dxa"/>
            <w:noWrap w:val="0"/>
            <w:vAlign w:val="top"/>
          </w:tcPr>
          <w:p w14:paraId="44920A8B">
            <w:pPr>
              <w:pStyle w:val="5"/>
              <w:spacing w:before="78" w:line="221" w:lineRule="auto"/>
              <w:ind w:left="1085"/>
              <w:rPr>
                <w:rFonts w:hint="eastAsia" w:ascii="仿宋" w:hAnsi="仿宋" w:eastAsia="仿宋" w:cs="仿宋"/>
              </w:rPr>
            </w:pPr>
          </w:p>
        </w:tc>
        <w:tc>
          <w:tcPr>
            <w:tcW w:w="2656" w:type="dxa"/>
            <w:noWrap w:val="0"/>
            <w:vAlign w:val="top"/>
          </w:tcPr>
          <w:p w14:paraId="5554A9F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6" w:type="dxa"/>
            <w:noWrap w:val="0"/>
            <w:vAlign w:val="top"/>
          </w:tcPr>
          <w:p w14:paraId="383990C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AC66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827" w:type="dxa"/>
            <w:noWrap w:val="0"/>
            <w:vAlign w:val="top"/>
          </w:tcPr>
          <w:p w14:paraId="5560B04E">
            <w:pPr>
              <w:pStyle w:val="5"/>
              <w:spacing w:before="78" w:line="242" w:lineRule="auto"/>
              <w:ind w:left="3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3577" w:type="dxa"/>
            <w:noWrap w:val="0"/>
            <w:vAlign w:val="top"/>
          </w:tcPr>
          <w:p w14:paraId="15A754B3">
            <w:pPr>
              <w:pStyle w:val="5"/>
              <w:spacing w:before="78" w:line="220" w:lineRule="auto"/>
              <w:ind w:left="845"/>
              <w:rPr>
                <w:rFonts w:hint="eastAsia" w:ascii="仿宋" w:hAnsi="仿宋" w:eastAsia="仿宋" w:cs="仿宋"/>
              </w:rPr>
            </w:pPr>
          </w:p>
        </w:tc>
        <w:tc>
          <w:tcPr>
            <w:tcW w:w="2656" w:type="dxa"/>
            <w:noWrap w:val="0"/>
            <w:vAlign w:val="top"/>
          </w:tcPr>
          <w:p w14:paraId="47E6B92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6" w:type="dxa"/>
            <w:noWrap w:val="0"/>
            <w:vAlign w:val="top"/>
          </w:tcPr>
          <w:p w14:paraId="01A8EF11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D233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4404" w:type="dxa"/>
            <w:gridSpan w:val="2"/>
            <w:noWrap w:val="0"/>
            <w:vAlign w:val="top"/>
          </w:tcPr>
          <w:p w14:paraId="05384E5D">
            <w:pPr>
              <w:pStyle w:val="5"/>
              <w:spacing w:before="78" w:line="222" w:lineRule="auto"/>
              <w:ind w:left="197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</w:rPr>
              <w:t>合计</w:t>
            </w:r>
          </w:p>
        </w:tc>
        <w:tc>
          <w:tcPr>
            <w:tcW w:w="2656" w:type="dxa"/>
            <w:noWrap w:val="0"/>
            <w:vAlign w:val="top"/>
          </w:tcPr>
          <w:p w14:paraId="5E8F4F8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6" w:type="dxa"/>
            <w:noWrap w:val="0"/>
            <w:vAlign w:val="top"/>
          </w:tcPr>
          <w:p w14:paraId="0D82E19F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069E80D1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四、双方的权利和义务</w:t>
      </w:r>
    </w:p>
    <w:p w14:paraId="7A019BA2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 甲方的权利和义务</w:t>
      </w:r>
    </w:p>
    <w:p w14:paraId="097C3AC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（1）甲方及时向乙方提供与履行本合同相关的所有必需的文件、资料。</w:t>
      </w:r>
    </w:p>
    <w:p w14:paraId="690BA359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（2）甲方为乙方履行本合同过程中与相关政府部门及其他第三方的沟通、协 调提供必要的协助。</w:t>
      </w:r>
    </w:p>
    <w:p w14:paraId="3E6C09AC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（3）甲方按照合同第三条、第四条约定支付项目费用。</w:t>
      </w:r>
    </w:p>
    <w:p w14:paraId="3E537D4F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（4）甲方应积极协助乙方完成项目用地预审技术服务、用地组卷报批技术服务的各项工作， 包括及时与乙方沟通，交流意见，提供所需资料等。</w:t>
      </w:r>
    </w:p>
    <w:p w14:paraId="3BBC1B4B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 乙方的权利及义务</w:t>
      </w:r>
    </w:p>
    <w:p w14:paraId="082546B5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（1）自收到甲方委托任务之日起2日历日内组织测绘队伍进场作业，并按照甲方规定的时间完成任务。</w:t>
      </w:r>
    </w:p>
    <w:p w14:paraId="6CFB1F41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（2）安排本单位专业测绘人员，确保测绘工作的质量，保证工作顺利开展。</w:t>
      </w:r>
    </w:p>
    <w:p w14:paraId="08951C0A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（3）配合甲方做好成果检查验收工作。</w:t>
      </w:r>
    </w:p>
    <w:p w14:paraId="65BB0DD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（4）按照国家保密规定，对甲方提供的有关资料与作业成果严格保密，在甲方未同意的情况下不得使用，不得外传。</w:t>
      </w:r>
    </w:p>
    <w:p w14:paraId="5E60F33B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（5）在约定的时间内向甲方提交作业成果。</w:t>
      </w:r>
    </w:p>
    <w:p w14:paraId="405E2A1B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（6）不得将本合同的全部或部分工作分转包给其他单位与个人。</w:t>
      </w:r>
    </w:p>
    <w:p w14:paraId="27B952AF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五、知识产权归属</w:t>
      </w:r>
    </w:p>
    <w:p w14:paraId="6DC47CB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1.按《中华人民共和国政府采购法》《中华人民共和国民法典》中的相关条款执行。</w:t>
      </w:r>
    </w:p>
    <w:p w14:paraId="7DE35D2D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2.项目服务测绘成果所有权、使用权和著作权均属于甲方，未经甲方同意，乙方不得以任何借口留存，否则承担由此产生的一切法律和经济责任。未经甲方允许，任何单位和个人不得转让和使用甲方测绘成果。</w:t>
      </w:r>
    </w:p>
    <w:p w14:paraId="3976FC09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六、保密</w:t>
      </w:r>
    </w:p>
    <w:p w14:paraId="6DE83312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由甲方向乙方提供的图纸、数据库等资料，被视为保密资料，仅被用于所规定 的用途。未经甲方同意不得向任何第三方透露。工作结束后，应甲方要求，乙方应 归还所有从甲方处获得的保密资料。</w:t>
      </w:r>
    </w:p>
    <w:p w14:paraId="37F2D31A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七、违约责任与赔偿损失</w:t>
      </w:r>
    </w:p>
    <w:p w14:paraId="20B04245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1.按《中华人民共和国政府采购法》《中华人民共和国民法典》中的相关条款执行。</w:t>
      </w:r>
    </w:p>
    <w:p w14:paraId="211DB2D1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4C0F8737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八、争议的解决</w:t>
      </w:r>
    </w:p>
    <w:p w14:paraId="059A9FB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合同执行过程中发生的任何争议，如双方不能通过友好协商解决，按相关法律法规处理。</w:t>
      </w:r>
    </w:p>
    <w:p w14:paraId="433982BA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九、不可抗力</w:t>
      </w:r>
    </w:p>
    <w:p w14:paraId="556356F1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任何一方由于不可抗力原因不能履行合同时，应在不可抗力事件结束后 1  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26B438F3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十、税费</w:t>
      </w:r>
    </w:p>
    <w:p w14:paraId="0C362ABA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与本合同执行有关的一切税费均由乙方负担。</w:t>
      </w:r>
    </w:p>
    <w:p w14:paraId="1A9666D1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十一、其它</w:t>
      </w:r>
    </w:p>
    <w:p w14:paraId="78E28E57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1.本合同所有附件、采购文件、响应文件、成交通知书均为合同的有效组成部分，与本合同具有同等法律效力。</w:t>
      </w:r>
    </w:p>
    <w:p w14:paraId="2616DA69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2.在执行本合同的过程中，所有经双方签署确认的文件（包括会议纪要、补充 协议、往来信函）即成为本合同的有效组成部分。</w:t>
      </w:r>
    </w:p>
    <w:p w14:paraId="1EBAB59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3.如一方地址、电话、传真号码有变更，应在变更当日内书面通知对方，否则， 应承担相应责任。</w:t>
      </w:r>
    </w:p>
    <w:p w14:paraId="3EE4DD87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4.本合同如有未尽事宜，甲、乙双方协商解决。</w:t>
      </w:r>
    </w:p>
    <w:p w14:paraId="33CD47CC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十二、合同生效</w:t>
      </w:r>
    </w:p>
    <w:p w14:paraId="7D2D990D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1.本合同在甲乙双方法人代表或其授权代表签字盖章后生效。</w:t>
      </w:r>
    </w:p>
    <w:p w14:paraId="670A68E0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2.合同一式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份，甲乙双方各执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份。</w:t>
      </w:r>
    </w:p>
    <w:p w14:paraId="69125471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</w:p>
    <w:p w14:paraId="0E86A8C7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 w14:paraId="53BBA763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 w14:paraId="0845AAD3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 w14:paraId="3CD73906"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本页无正文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tbl>
      <w:tblPr>
        <w:tblStyle w:val="6"/>
        <w:tblW w:w="88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3"/>
        <w:gridCol w:w="4657"/>
      </w:tblGrid>
      <w:tr w14:paraId="3F98B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213" w:type="dxa"/>
            <w:noWrap w:val="0"/>
            <w:vAlign w:val="top"/>
          </w:tcPr>
          <w:p w14:paraId="5DCA53CB">
            <w:pPr>
              <w:pStyle w:val="5"/>
              <w:spacing w:before="128" w:line="222" w:lineRule="auto"/>
              <w:ind w:left="190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1"/>
              </w:rPr>
              <w:t>甲方</w:t>
            </w:r>
          </w:p>
        </w:tc>
        <w:tc>
          <w:tcPr>
            <w:tcW w:w="4657" w:type="dxa"/>
            <w:noWrap w:val="0"/>
            <w:vAlign w:val="top"/>
          </w:tcPr>
          <w:p w14:paraId="5FCB6106">
            <w:pPr>
              <w:pStyle w:val="5"/>
              <w:spacing w:before="128" w:line="222" w:lineRule="auto"/>
              <w:ind w:left="2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乙方</w:t>
            </w:r>
          </w:p>
        </w:tc>
      </w:tr>
      <w:tr w14:paraId="20858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4213" w:type="dxa"/>
            <w:noWrap w:val="0"/>
            <w:vAlign w:val="top"/>
          </w:tcPr>
          <w:p w14:paraId="0299EED0">
            <w:pPr>
              <w:pStyle w:val="5"/>
              <w:spacing w:before="253"/>
              <w:ind w:left="1645" w:right="1503" w:hanging="13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采购人名称</w:t>
            </w:r>
            <w:r>
              <w:rPr>
                <w:rFonts w:hint="eastAsia" w:ascii="仿宋" w:hAnsi="仿宋" w:eastAsia="仿宋" w:cs="仿宋"/>
                <w:spacing w:val="-6"/>
              </w:rPr>
              <w:t>（盖章）</w:t>
            </w:r>
          </w:p>
        </w:tc>
        <w:tc>
          <w:tcPr>
            <w:tcW w:w="4657" w:type="dxa"/>
            <w:noWrap w:val="0"/>
            <w:vAlign w:val="top"/>
          </w:tcPr>
          <w:p w14:paraId="28F1F0CF">
            <w:pPr>
              <w:pStyle w:val="5"/>
              <w:spacing w:before="253"/>
              <w:ind w:left="1864" w:right="1727" w:hanging="13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供应商名称</w:t>
            </w:r>
            <w:r>
              <w:rPr>
                <w:rFonts w:hint="eastAsia" w:ascii="仿宋" w:hAnsi="仿宋" w:eastAsia="仿宋" w:cs="仿宋"/>
                <w:spacing w:val="-6"/>
              </w:rPr>
              <w:t>（盖章）</w:t>
            </w:r>
          </w:p>
        </w:tc>
      </w:tr>
      <w:tr w14:paraId="3035F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213" w:type="dxa"/>
            <w:noWrap w:val="0"/>
            <w:vAlign w:val="top"/>
          </w:tcPr>
          <w:p w14:paraId="40C73644">
            <w:pPr>
              <w:pStyle w:val="5"/>
              <w:spacing w:before="131" w:line="229" w:lineRule="auto"/>
              <w:ind w:left="1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地址：</w:t>
            </w:r>
          </w:p>
        </w:tc>
        <w:tc>
          <w:tcPr>
            <w:tcW w:w="4657" w:type="dxa"/>
            <w:noWrap w:val="0"/>
            <w:vAlign w:val="top"/>
          </w:tcPr>
          <w:p w14:paraId="1FDFB803">
            <w:pPr>
              <w:pStyle w:val="5"/>
              <w:spacing w:before="131" w:line="229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地址：</w:t>
            </w:r>
          </w:p>
        </w:tc>
      </w:tr>
      <w:tr w14:paraId="68B05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213" w:type="dxa"/>
            <w:noWrap w:val="0"/>
            <w:vAlign w:val="top"/>
          </w:tcPr>
          <w:p w14:paraId="418E2E3D">
            <w:pPr>
              <w:pStyle w:val="5"/>
              <w:spacing w:before="119" w:line="220" w:lineRule="auto"/>
              <w:ind w:left="13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邮编：</w:t>
            </w:r>
          </w:p>
        </w:tc>
        <w:tc>
          <w:tcPr>
            <w:tcW w:w="4657" w:type="dxa"/>
            <w:noWrap w:val="0"/>
            <w:vAlign w:val="top"/>
          </w:tcPr>
          <w:p w14:paraId="4D153FA4">
            <w:pPr>
              <w:pStyle w:val="5"/>
              <w:spacing w:before="119" w:line="220" w:lineRule="auto"/>
              <w:ind w:left="13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邮编：</w:t>
            </w:r>
          </w:p>
        </w:tc>
      </w:tr>
      <w:tr w14:paraId="40802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13" w:type="dxa"/>
            <w:noWrap w:val="0"/>
            <w:vAlign w:val="top"/>
          </w:tcPr>
          <w:p w14:paraId="4559A53A">
            <w:pPr>
              <w:pStyle w:val="5"/>
              <w:spacing w:before="119" w:line="220" w:lineRule="auto"/>
              <w:ind w:left="1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法定代表人：</w:t>
            </w:r>
          </w:p>
        </w:tc>
        <w:tc>
          <w:tcPr>
            <w:tcW w:w="4657" w:type="dxa"/>
            <w:noWrap w:val="0"/>
            <w:vAlign w:val="top"/>
          </w:tcPr>
          <w:p w14:paraId="109B54F8">
            <w:pPr>
              <w:pStyle w:val="5"/>
              <w:spacing w:before="119" w:line="220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法定代表人：</w:t>
            </w:r>
          </w:p>
        </w:tc>
      </w:tr>
      <w:tr w14:paraId="1B4CC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213" w:type="dxa"/>
            <w:noWrap w:val="0"/>
            <w:vAlign w:val="top"/>
          </w:tcPr>
          <w:p w14:paraId="4A952850">
            <w:pPr>
              <w:pStyle w:val="5"/>
              <w:spacing w:before="114" w:line="220" w:lineRule="auto"/>
              <w:ind w:left="1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被授权代表</w:t>
            </w:r>
            <w:r>
              <w:rPr>
                <w:rFonts w:hint="eastAsia" w:ascii="仿宋" w:hAnsi="仿宋" w:eastAsia="仿宋" w:cs="仿宋"/>
                <w:spacing w:val="-18"/>
              </w:rPr>
              <w:t>：（</w:t>
            </w:r>
            <w:r>
              <w:rPr>
                <w:rFonts w:hint="eastAsia" w:ascii="仿宋" w:hAnsi="仿宋" w:eastAsia="仿宋" w:cs="仿宋"/>
                <w:spacing w:val="3"/>
              </w:rPr>
              <w:t>签字</w:t>
            </w:r>
            <w:r>
              <w:rPr>
                <w:rFonts w:hint="eastAsia" w:ascii="仿宋" w:hAnsi="仿宋" w:eastAsia="仿宋" w:cs="仿宋"/>
                <w:spacing w:val="3"/>
                <w:lang w:val="en-US" w:eastAsia="zh-CN"/>
              </w:rPr>
              <w:t>或盖章</w:t>
            </w:r>
            <w:r>
              <w:rPr>
                <w:rFonts w:hint="eastAsia" w:ascii="仿宋" w:hAnsi="仿宋" w:eastAsia="仿宋" w:cs="仿宋"/>
                <w:spacing w:val="3"/>
              </w:rPr>
              <w:t>）</w:t>
            </w:r>
          </w:p>
        </w:tc>
        <w:tc>
          <w:tcPr>
            <w:tcW w:w="4657" w:type="dxa"/>
            <w:noWrap w:val="0"/>
            <w:vAlign w:val="top"/>
          </w:tcPr>
          <w:p w14:paraId="4360D28B">
            <w:pPr>
              <w:pStyle w:val="5"/>
              <w:spacing w:before="114" w:line="220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被授权代表</w:t>
            </w:r>
            <w:r>
              <w:rPr>
                <w:rFonts w:hint="eastAsia" w:ascii="仿宋" w:hAnsi="仿宋" w:eastAsia="仿宋" w:cs="仿宋"/>
                <w:spacing w:val="-18"/>
              </w:rPr>
              <w:t>：（</w:t>
            </w:r>
            <w:r>
              <w:rPr>
                <w:rFonts w:hint="eastAsia" w:ascii="仿宋" w:hAnsi="仿宋" w:eastAsia="仿宋" w:cs="仿宋"/>
                <w:spacing w:val="3"/>
              </w:rPr>
              <w:t>签字</w:t>
            </w:r>
            <w:r>
              <w:rPr>
                <w:rFonts w:hint="eastAsia" w:ascii="仿宋" w:hAnsi="仿宋" w:eastAsia="仿宋" w:cs="仿宋"/>
                <w:spacing w:val="3"/>
                <w:lang w:val="en-US" w:eastAsia="zh-CN"/>
              </w:rPr>
              <w:t>或盖章</w:t>
            </w:r>
            <w:r>
              <w:rPr>
                <w:rFonts w:hint="eastAsia" w:ascii="仿宋" w:hAnsi="仿宋" w:eastAsia="仿宋" w:cs="仿宋"/>
                <w:spacing w:val="3"/>
              </w:rPr>
              <w:t>）</w:t>
            </w:r>
          </w:p>
        </w:tc>
      </w:tr>
      <w:tr w14:paraId="610F75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213" w:type="dxa"/>
            <w:noWrap w:val="0"/>
            <w:vAlign w:val="top"/>
          </w:tcPr>
          <w:p w14:paraId="1AEDD0B1">
            <w:pPr>
              <w:pStyle w:val="5"/>
              <w:spacing w:before="97" w:line="222" w:lineRule="auto"/>
              <w:ind w:left="14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电话：</w:t>
            </w:r>
          </w:p>
        </w:tc>
        <w:tc>
          <w:tcPr>
            <w:tcW w:w="4657" w:type="dxa"/>
            <w:noWrap w:val="0"/>
            <w:vAlign w:val="top"/>
          </w:tcPr>
          <w:p w14:paraId="70BA5909">
            <w:pPr>
              <w:pStyle w:val="5"/>
              <w:spacing w:before="97" w:line="222" w:lineRule="auto"/>
              <w:ind w:left="14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电话：</w:t>
            </w:r>
          </w:p>
        </w:tc>
      </w:tr>
      <w:tr w14:paraId="2FE9C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4213" w:type="dxa"/>
            <w:noWrap w:val="0"/>
            <w:vAlign w:val="top"/>
          </w:tcPr>
          <w:p w14:paraId="3F8C67E1">
            <w:pPr>
              <w:pStyle w:val="5"/>
              <w:spacing w:before="121" w:line="219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传真：</w:t>
            </w:r>
          </w:p>
        </w:tc>
        <w:tc>
          <w:tcPr>
            <w:tcW w:w="4657" w:type="dxa"/>
            <w:noWrap w:val="0"/>
            <w:vAlign w:val="top"/>
          </w:tcPr>
          <w:p w14:paraId="53B218D2">
            <w:pPr>
              <w:pStyle w:val="5"/>
              <w:spacing w:before="121" w:line="219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传真：</w:t>
            </w:r>
          </w:p>
        </w:tc>
      </w:tr>
      <w:tr w14:paraId="2A312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213" w:type="dxa"/>
            <w:noWrap w:val="0"/>
            <w:vAlign w:val="top"/>
          </w:tcPr>
          <w:p w14:paraId="507ECF04">
            <w:pPr>
              <w:pStyle w:val="5"/>
              <w:spacing w:before="124" w:line="221" w:lineRule="auto"/>
              <w:ind w:left="1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开户银行：</w:t>
            </w:r>
          </w:p>
        </w:tc>
        <w:tc>
          <w:tcPr>
            <w:tcW w:w="4657" w:type="dxa"/>
            <w:noWrap w:val="0"/>
            <w:vAlign w:val="top"/>
          </w:tcPr>
          <w:p w14:paraId="20AF0D3A">
            <w:pPr>
              <w:pStyle w:val="5"/>
              <w:spacing w:before="124" w:line="22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开户银行：</w:t>
            </w:r>
          </w:p>
        </w:tc>
      </w:tr>
      <w:tr w14:paraId="7602A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213" w:type="dxa"/>
            <w:noWrap w:val="0"/>
            <w:vAlign w:val="top"/>
          </w:tcPr>
          <w:p w14:paraId="6F77B403">
            <w:pPr>
              <w:pStyle w:val="5"/>
              <w:spacing w:before="122" w:line="222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账号：</w:t>
            </w:r>
          </w:p>
        </w:tc>
        <w:tc>
          <w:tcPr>
            <w:tcW w:w="4657" w:type="dxa"/>
            <w:noWrap w:val="0"/>
            <w:vAlign w:val="top"/>
          </w:tcPr>
          <w:p w14:paraId="19B77CCD">
            <w:pPr>
              <w:pStyle w:val="5"/>
              <w:spacing w:before="122" w:line="222" w:lineRule="auto"/>
              <w:ind w:left="1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账号：</w:t>
            </w:r>
          </w:p>
        </w:tc>
      </w:tr>
      <w:tr w14:paraId="7B5CA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4213" w:type="dxa"/>
            <w:noWrap w:val="0"/>
            <w:vAlign w:val="top"/>
          </w:tcPr>
          <w:p w14:paraId="6C659AFA">
            <w:pPr>
              <w:pStyle w:val="5"/>
              <w:spacing w:before="137" w:line="220" w:lineRule="auto"/>
              <w:ind w:left="15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日期：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</w:rPr>
              <w:t>年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3"/>
              </w:rPr>
              <w:t>月</w:t>
            </w:r>
            <w:r>
              <w:rPr>
                <w:rFonts w:hint="eastAsia" w:ascii="仿宋" w:hAnsi="仿宋" w:eastAsia="仿宋" w:cs="仿宋"/>
                <w:spacing w:val="12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3"/>
              </w:rPr>
              <w:t>日</w:t>
            </w:r>
          </w:p>
        </w:tc>
        <w:tc>
          <w:tcPr>
            <w:tcW w:w="4657" w:type="dxa"/>
            <w:noWrap w:val="0"/>
            <w:vAlign w:val="top"/>
          </w:tcPr>
          <w:p w14:paraId="4734D974">
            <w:pPr>
              <w:pStyle w:val="5"/>
              <w:spacing w:before="137" w:line="220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日期：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</w:rPr>
              <w:t>年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3"/>
              </w:rPr>
              <w:t>月</w:t>
            </w:r>
            <w:r>
              <w:rPr>
                <w:rFonts w:hint="eastAsia" w:ascii="仿宋" w:hAnsi="仿宋" w:eastAsia="仿宋" w:cs="仿宋"/>
                <w:spacing w:val="12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3"/>
              </w:rPr>
              <w:t>日</w:t>
            </w:r>
          </w:p>
        </w:tc>
      </w:tr>
    </w:tbl>
    <w:p w14:paraId="3C877FA1">
      <w:pPr>
        <w:pStyle w:val="4"/>
        <w:jc w:val="both"/>
        <w:rPr>
          <w:rFonts w:hint="eastAsia" w:ascii="宋体" w:hAnsi="宋体" w:eastAsia="宋体" w:cs="宋体"/>
          <w:b/>
          <w:bCs/>
          <w:sz w:val="70"/>
          <w:szCs w:val="70"/>
          <w:lang w:val="en-US" w:eastAsia="zh-Hans"/>
        </w:rPr>
      </w:pPr>
    </w:p>
    <w:p w14:paraId="48ED87FC"/>
    <w:p w14:paraId="7A0CA3D7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1562B">
    <w:pPr>
      <w:spacing w:line="271" w:lineRule="exact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2025-12-04T07:47:34Z</dcterms:created>
  <dc:creator>Administrator</dc:creator>
  <cp:lastModifiedBy>hyp</cp:lastModifiedBy>
  <dcterms:modified xsi:type="dcterms:W3CDTF">2025-12-04T07:47:37Z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eyJoZGlkIjoiMzlhZDhhMmZlOGZkNWRiY2Y3MThlZDVkNmRkZTcxMGQiLCJ1c2VySWQiOiIzMjA5ODk5NTgifQ==</vt:lpwstr>
  </property>
  <property fmtid="{D5CDD505-2E9C-101B-9397-08002B2CF9AE}" pid="4" name="ICV">
    <vt:lpwstr>9ABE372A68C74AF4A24B34171B35536B_12</vt:lpwstr>
  </property>
</Properties>
</file>