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版本号：HYDZB202500320250219001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西安市临潼区康复南路提升改造项目EPC工程总承包监理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HYDZB2025003</w:t>
      </w:r>
      <w:r>
        <w:br/>
      </w:r>
      <w:r>
        <w:br/>
      </w:r>
      <w:r>
        <w:br/>
      </w:r>
    </w:p>
    <w:p>
      <w:pPr>
        <w:pStyle w:val="null3"/>
        <w:jc w:val="center"/>
        <w:outlineLvl w:val="2"/>
      </w:pPr>
      <w:r>
        <w:rPr>
          <w:rFonts w:ascii="仿宋_GB2312" w:hAnsi="仿宋_GB2312" w:cs="仿宋_GB2312" w:eastAsia="仿宋_GB2312"/>
          <w:sz w:val="28"/>
          <w:b/>
        </w:rPr>
        <w:t>西安市临潼区住房和城乡建设局</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2025年02月20日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西安市临潼区住房和城乡建设局</w:t>
      </w:r>
      <w:r>
        <w:rPr>
          <w:rFonts w:ascii="仿宋_GB2312" w:hAnsi="仿宋_GB2312" w:cs="仿宋_GB2312" w:eastAsia="仿宋_GB2312"/>
        </w:rPr>
        <w:t>委托，拟对</w:t>
      </w:r>
      <w:r>
        <w:rPr>
          <w:rFonts w:ascii="仿宋_GB2312" w:hAnsi="仿宋_GB2312" w:cs="仿宋_GB2312" w:eastAsia="仿宋_GB2312"/>
        </w:rPr>
        <w:t>西安市临潼区康复南路提升改造项目EPC工程总承包监理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HYDZB2025003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西安市临潼区康复南路提升改造项目EPC工程总承包监理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本项目为道路提升改造，共分南北两段进行建设，建设内容包括车行道拆除及铺设、人行道拆除及铺设、雨污水管道铺设、绿化栽植、电力照明等。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采购包1（西安市临潼区康复南路提升改造项目EPC工程总承包监理）：属于专门面向中小企业采购。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2、法人代表证明书或法人授权委托书：法人代表证明书或法人授权委托书，后附法人及被委托人身份证（法定代表人直接参加磋商的只需提供法定代表人身份证）；</w:t>
      </w:r>
    </w:p>
    <w:p>
      <w:pPr>
        <w:pStyle w:val="null3"/>
      </w:pPr>
      <w:r>
        <w:rPr>
          <w:rFonts w:ascii="仿宋_GB2312" w:hAnsi="仿宋_GB2312" w:cs="仿宋_GB2312" w:eastAsia="仿宋_GB2312"/>
        </w:rPr>
        <w:t>3、供应商资质：供应商应具备【工程监理综合资质】及以上，或【市政公用工程监理乙级】及以上资质并在人员、设备、资金等方面具备相应的能力；</w:t>
      </w:r>
    </w:p>
    <w:p>
      <w:pPr>
        <w:pStyle w:val="null3"/>
      </w:pPr>
      <w:r>
        <w:rPr>
          <w:rFonts w:ascii="仿宋_GB2312" w:hAnsi="仿宋_GB2312" w:cs="仿宋_GB2312" w:eastAsia="仿宋_GB2312"/>
        </w:rPr>
        <w:t>4、总监理工程师资质：拟派项目总监具有【注册监理工程师】及以上执业资格（市政公用工程专业），在本单位注册，且未担任其他在监工程项目的项目总监；</w:t>
      </w:r>
    </w:p>
    <w:p>
      <w:pPr>
        <w:pStyle w:val="null3"/>
      </w:pPr>
      <w:r>
        <w:rPr>
          <w:rFonts w:ascii="仿宋_GB2312" w:hAnsi="仿宋_GB2312" w:cs="仿宋_GB2312" w:eastAsia="仿宋_GB2312"/>
        </w:rPr>
        <w:t>5、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p>
      <w:pPr>
        <w:pStyle w:val="null3"/>
      </w:pPr>
      <w:r>
        <w:rPr>
          <w:rFonts w:ascii="仿宋_GB2312" w:hAnsi="仿宋_GB2312" w:cs="仿宋_GB2312" w:eastAsia="仿宋_GB2312"/>
        </w:rPr>
        <w:t>6、非联合体投标：本项目不接受联合体投标。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临潼区人民南路41号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13720510555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采购包1：487,900.00元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西安市临潼区住房和城乡建设局</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符合国家法律法规、规章制度要求，行业、地方标准及采购人要求。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联系人：陕西恒益鼎工程项目管理有限公司</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本项目为道路提升改造，共分南北两段进行建设，建设内容包括车行道拆除及铺设、人行道拆除及铺设、雨污水管道铺设、绿化栽植、电力照明等。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487,900.00</w:t>
      </w:r>
    </w:p>
    <w:p>
      <w:pPr>
        <w:pStyle w:val="null3"/>
      </w:pPr>
      <w:r>
        <w:rPr>
          <w:rFonts w:ascii="仿宋_GB2312" w:hAnsi="仿宋_GB2312" w:cs="仿宋_GB2312" w:eastAsia="仿宋_GB2312"/>
        </w:rPr>
        <w:t>采购包最高限价（元）: 487,900.00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临潼区康复南路提升改造项目EPC工程总承包监理服务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487,900.00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标的名称：临潼区康复南路提升改造项目EPC工程总承包监理服务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项目概况</w:t>
            </w:r>
          </w:p>
        </w:tc>
        <w:tc>
          <w:tcPr>
            <w:tcW w:type="dxa" w:w="2076"/>
          </w:tcPr>
          <w:p>
            <w:pPr>
              <w:pStyle w:val="null3"/>
              <w:jc w:val="left"/>
            </w:pPr>
            <w:r>
              <w:rPr>
                <w:rFonts w:ascii="仿宋_GB2312" w:hAnsi="仿宋_GB2312" w:cs="仿宋_GB2312" w:eastAsia="仿宋_GB2312"/>
                <w:sz w:val="24"/>
                <w:color w:val="000000"/>
              </w:rPr>
              <w:t>本项目为道路提升改造，共分南北两段进行建设，建设内容包括车行道拆除及铺设、人行道拆除及铺设、雨污水管道铺设、绿化栽植、电力照明等</w:t>
            </w:r>
            <w:r>
              <w:rPr>
                <w:rFonts w:ascii="仿宋_GB2312" w:hAnsi="仿宋_GB2312" w:cs="仿宋_GB2312" w:eastAsia="仿宋_GB2312"/>
                <w:sz w:val="24"/>
                <w:color w:val="000000"/>
              </w:rPr>
              <w:t>。</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服务内容</w:t>
            </w:r>
          </w:p>
        </w:tc>
        <w:tc>
          <w:tcPr>
            <w:tcW w:type="dxa" w:w="2076"/>
          </w:tcPr>
          <w:p>
            <w:pPr>
              <w:pStyle w:val="null3"/>
              <w:ind w:firstLine="482"/>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）工程地点：</w:t>
            </w:r>
            <w:r>
              <w:rPr>
                <w:rFonts w:ascii="仿宋_GB2312" w:hAnsi="仿宋_GB2312" w:cs="仿宋_GB2312" w:eastAsia="仿宋_GB2312"/>
                <w:sz w:val="24"/>
                <w:color w:val="000000"/>
              </w:rPr>
              <w:t>位于</w:t>
            </w:r>
            <w:r>
              <w:rPr>
                <w:rFonts w:ascii="仿宋_GB2312" w:hAnsi="仿宋_GB2312" w:cs="仿宋_GB2312" w:eastAsia="仿宋_GB2312"/>
                <w:sz w:val="24"/>
                <w:color w:val="000000"/>
              </w:rPr>
              <w:t>临潼区西南方向，具体位置为：爱琴海温泉酒店以东、骊山苑以西、秦唐大道以南、康复西路以北</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（二）工</w:t>
            </w:r>
            <w:r>
              <w:rPr>
                <w:rFonts w:ascii="仿宋_GB2312" w:hAnsi="仿宋_GB2312" w:cs="仿宋_GB2312" w:eastAsia="仿宋_GB2312"/>
                <w:sz w:val="24"/>
                <w:b/>
                <w:color w:val="000000"/>
              </w:rPr>
              <w:t>作</w:t>
            </w:r>
            <w:r>
              <w:rPr>
                <w:rFonts w:ascii="仿宋_GB2312" w:hAnsi="仿宋_GB2312" w:cs="仿宋_GB2312" w:eastAsia="仿宋_GB2312"/>
                <w:sz w:val="24"/>
                <w:b/>
                <w:color w:val="000000"/>
              </w:rPr>
              <w:t>内容：</w:t>
            </w:r>
          </w:p>
          <w:p>
            <w:pPr>
              <w:pStyle w:val="null3"/>
              <w:ind w:firstLine="480"/>
              <w:jc w:val="left"/>
            </w:pPr>
            <w:r>
              <w:rPr>
                <w:rFonts w:ascii="仿宋_GB2312" w:hAnsi="仿宋_GB2312" w:cs="仿宋_GB2312" w:eastAsia="仿宋_GB2312"/>
                <w:sz w:val="24"/>
                <w:color w:val="000000"/>
              </w:rPr>
              <w:t>本项目包含对现状排水管道进行雨污分流、对道路两侧景观绿化进行提升改造，对现状道路进行铣刨重铺等内容</w:t>
            </w:r>
            <w:r>
              <w:rPr>
                <w:rFonts w:ascii="仿宋_GB2312" w:hAnsi="仿宋_GB2312" w:cs="仿宋_GB2312" w:eastAsia="仿宋_GB2312"/>
                <w:sz w:val="24"/>
                <w:color w:val="000000"/>
              </w:rPr>
              <w:t>，</w:t>
            </w:r>
            <w:r>
              <w:rPr>
                <w:rFonts w:ascii="仿宋_GB2312" w:hAnsi="仿宋_GB2312" w:cs="仿宋_GB2312" w:eastAsia="仿宋_GB2312"/>
                <w:sz w:val="24"/>
                <w:color w:val="000000"/>
              </w:rPr>
              <w:t>包含道路、</w:t>
            </w:r>
            <w:r>
              <w:rPr>
                <w:rFonts w:ascii="仿宋_GB2312" w:hAnsi="仿宋_GB2312" w:cs="仿宋_GB2312" w:eastAsia="仿宋_GB2312"/>
                <w:sz w:val="24"/>
                <w:color w:val="000000"/>
              </w:rPr>
              <w:t>雨水</w:t>
            </w:r>
            <w:r>
              <w:rPr>
                <w:rFonts w:ascii="仿宋_GB2312" w:hAnsi="仿宋_GB2312" w:cs="仿宋_GB2312" w:eastAsia="仿宋_GB2312"/>
                <w:sz w:val="24"/>
                <w:color w:val="000000"/>
              </w:rPr>
              <w:t>、照明、</w:t>
            </w:r>
            <w:r>
              <w:rPr>
                <w:rFonts w:ascii="仿宋_GB2312" w:hAnsi="仿宋_GB2312" w:cs="仿宋_GB2312" w:eastAsia="仿宋_GB2312"/>
                <w:sz w:val="24"/>
                <w:color w:val="000000"/>
              </w:rPr>
              <w:t>电力电信</w:t>
            </w:r>
            <w:r>
              <w:rPr>
                <w:rFonts w:ascii="仿宋_GB2312" w:hAnsi="仿宋_GB2312" w:cs="仿宋_GB2312" w:eastAsia="仿宋_GB2312"/>
                <w:sz w:val="24"/>
                <w:color w:val="000000"/>
              </w:rPr>
              <w:t>、绿化等</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招标范围：西安市临潼区康复南路提升改造项目</w:t>
            </w:r>
            <w:r>
              <w:rPr>
                <w:rFonts w:ascii="仿宋_GB2312" w:hAnsi="仿宋_GB2312" w:cs="仿宋_GB2312" w:eastAsia="仿宋_GB2312"/>
                <w:sz w:val="24"/>
                <w:color w:val="000000"/>
              </w:rPr>
              <w:t>EPC工程总承包监理，具体包括施工全过程及保修阶段的全部监理服务。</w:t>
            </w:r>
          </w:p>
        </w:tc>
      </w:tr>
      <w:tr>
        <w:tc>
          <w:tcPr>
            <w:tcW w:type="dxa" w:w="2076"/>
          </w:tcPr>
          <w:p/>
        </w:tc>
        <w:tc>
          <w:tcPr>
            <w:tcW w:type="dxa" w:w="2076"/>
          </w:tcPr>
          <w:p>
            <w:pPr>
              <w:pStyle w:val="null3"/>
            </w:pPr>
            <w:r>
              <w:rPr>
                <w:rFonts w:ascii="仿宋_GB2312" w:hAnsi="仿宋_GB2312" w:cs="仿宋_GB2312" w:eastAsia="仿宋_GB2312"/>
              </w:rPr>
              <w:t>3</w:t>
            </w:r>
          </w:p>
        </w:tc>
        <w:tc>
          <w:tcPr>
            <w:tcW w:type="dxa" w:w="2076"/>
          </w:tcPr>
          <w:p>
            <w:pPr>
              <w:pStyle w:val="null3"/>
            </w:pPr>
            <w:r>
              <w:rPr>
                <w:rFonts w:ascii="仿宋_GB2312" w:hAnsi="仿宋_GB2312" w:cs="仿宋_GB2312" w:eastAsia="仿宋_GB2312"/>
              </w:rPr>
              <w:t>服务要求</w:t>
            </w:r>
          </w:p>
        </w:tc>
        <w:tc>
          <w:tcPr>
            <w:tcW w:type="dxa" w:w="2076"/>
          </w:tcPr>
          <w:p>
            <w:pPr>
              <w:pStyle w:val="null3"/>
              <w:ind w:firstLine="480"/>
              <w:jc w:val="left"/>
            </w:pPr>
            <w:r>
              <w:rPr>
                <w:rFonts w:ascii="仿宋_GB2312" w:hAnsi="仿宋_GB2312" w:cs="仿宋_GB2312" w:eastAsia="仿宋_GB2312"/>
                <w:sz w:val="24"/>
                <w:color w:val="000000"/>
              </w:rPr>
              <w:t>1.审查承包人各项施工准备工作，在征得委托人同意后下达开工指令。</w:t>
            </w:r>
          </w:p>
          <w:p>
            <w:pPr>
              <w:pStyle w:val="null3"/>
              <w:ind w:firstLine="480"/>
              <w:jc w:val="left"/>
            </w:pPr>
            <w:r>
              <w:rPr>
                <w:rFonts w:ascii="仿宋_GB2312" w:hAnsi="仿宋_GB2312" w:cs="仿宋_GB2312" w:eastAsia="仿宋_GB2312"/>
                <w:sz w:val="24"/>
                <w:color w:val="000000"/>
              </w:rPr>
              <w:t>2.审查承包人编制的施工组织设计、施工方案及施工进度计划并督促其实施。 重点审査其中的质量安全技术措施、专项施工方案与工程建设强制性标准的符合性。</w:t>
            </w:r>
          </w:p>
          <w:p>
            <w:pPr>
              <w:pStyle w:val="null3"/>
              <w:ind w:firstLine="480"/>
              <w:jc w:val="left"/>
            </w:pPr>
            <w:r>
              <w:rPr>
                <w:rFonts w:ascii="仿宋_GB2312" w:hAnsi="仿宋_GB2312" w:cs="仿宋_GB2312" w:eastAsia="仿宋_GB2312"/>
                <w:sz w:val="24"/>
                <w:color w:val="000000"/>
              </w:rPr>
              <w:t>3.审查承包人或委托人提供的材料、设备清单及其所列的规格与数量。</w:t>
            </w:r>
          </w:p>
          <w:p>
            <w:pPr>
              <w:pStyle w:val="null3"/>
              <w:ind w:firstLine="480"/>
              <w:jc w:val="left"/>
            </w:pPr>
            <w:r>
              <w:rPr>
                <w:rFonts w:ascii="仿宋_GB2312" w:hAnsi="仿宋_GB2312" w:cs="仿宋_GB2312" w:eastAsia="仿宋_GB2312"/>
                <w:sz w:val="24"/>
                <w:color w:val="000000"/>
              </w:rPr>
              <w:t>4.督促、检查承包人严格执行合同和严格按照国家有关技术规范、标准、规程以及设计图纸、文件的要求进行施工和安装活动，督促其完善各阶段的工程技术资料。</w:t>
            </w:r>
          </w:p>
          <w:p>
            <w:pPr>
              <w:pStyle w:val="null3"/>
              <w:ind w:firstLine="480"/>
              <w:jc w:val="left"/>
            </w:pPr>
            <w:r>
              <w:rPr>
                <w:rFonts w:ascii="仿宋_GB2312" w:hAnsi="仿宋_GB2312" w:cs="仿宋_GB2312" w:eastAsia="仿宋_GB2312"/>
                <w:sz w:val="24"/>
                <w:color w:val="000000"/>
              </w:rPr>
              <w:t>5.协助采购人组织设计交底和图纸会审会议。</w:t>
            </w:r>
          </w:p>
          <w:p>
            <w:pPr>
              <w:pStyle w:val="null3"/>
              <w:ind w:firstLine="480"/>
              <w:jc w:val="left"/>
            </w:pPr>
            <w:r>
              <w:rPr>
                <w:rFonts w:ascii="仿宋_GB2312" w:hAnsi="仿宋_GB2312" w:cs="仿宋_GB2312" w:eastAsia="仿宋_GB2312"/>
                <w:sz w:val="24"/>
                <w:color w:val="000000"/>
              </w:rPr>
              <w:t>6.督促执行施工合同，协调委托人与承包人之间的争议。</w:t>
            </w:r>
          </w:p>
          <w:p>
            <w:pPr>
              <w:pStyle w:val="null3"/>
              <w:ind w:firstLine="480"/>
              <w:jc w:val="left"/>
            </w:pPr>
            <w:r>
              <w:rPr>
                <w:rFonts w:ascii="仿宋_GB2312" w:hAnsi="仿宋_GB2312" w:cs="仿宋_GB2312" w:eastAsia="仿宋_GB2312"/>
                <w:sz w:val="24"/>
                <w:color w:val="000000"/>
              </w:rPr>
              <w:t>7.检查施工过程的主要部位、环节，进行隐蔽工程的施工验收签证，组织验收各分部分项工程。</w:t>
            </w:r>
          </w:p>
          <w:p>
            <w:pPr>
              <w:pStyle w:val="null3"/>
              <w:ind w:firstLine="480"/>
              <w:jc w:val="left"/>
            </w:pPr>
            <w:r>
              <w:rPr>
                <w:rFonts w:ascii="仿宋_GB2312" w:hAnsi="仿宋_GB2312" w:cs="仿宋_GB2312" w:eastAsia="仿宋_GB2312"/>
                <w:sz w:val="24"/>
                <w:color w:val="000000"/>
              </w:rPr>
              <w:t>8.审核用于工程的主要设备材料、构件、成品的出厂合格证和试验报告等质量证明，禁止不合格的材料、构件等在工程上使用。</w:t>
            </w:r>
          </w:p>
          <w:p>
            <w:pPr>
              <w:pStyle w:val="null3"/>
              <w:ind w:firstLine="480"/>
              <w:jc w:val="left"/>
            </w:pPr>
            <w:r>
              <w:rPr>
                <w:rFonts w:ascii="仿宋_GB2312" w:hAnsi="仿宋_GB2312" w:cs="仿宋_GB2312" w:eastAsia="仿宋_GB2312"/>
                <w:sz w:val="24"/>
                <w:color w:val="000000"/>
              </w:rPr>
              <w:t>9.审查承包人编制的工程进度计划，检查、签收承包人填报的工程计划及进 度报表，随时提出监理意见，控制工程进度的实施。</w:t>
            </w:r>
          </w:p>
          <w:p>
            <w:pPr>
              <w:pStyle w:val="null3"/>
              <w:ind w:firstLine="480"/>
              <w:jc w:val="left"/>
            </w:pPr>
            <w:r>
              <w:rPr>
                <w:rFonts w:ascii="仿宋_GB2312" w:hAnsi="仿宋_GB2312" w:cs="仿宋_GB2312" w:eastAsia="仿宋_GB2312"/>
                <w:sz w:val="24"/>
                <w:color w:val="000000"/>
              </w:rPr>
              <w:t>10.对于重大的设计修改和工程洽商，除提出监理意见之外，应征得委托人的同意，由设计单位出具设计变更文件；对不影响结构安全和使用功能的一般设计变更，监理人提出意见，由委托人负责协调设计单位签发。</w:t>
            </w:r>
          </w:p>
          <w:p>
            <w:pPr>
              <w:pStyle w:val="null3"/>
              <w:ind w:firstLine="480"/>
              <w:jc w:val="left"/>
            </w:pPr>
            <w:r>
              <w:rPr>
                <w:rFonts w:ascii="仿宋_GB2312" w:hAnsi="仿宋_GB2312" w:cs="仿宋_GB2312" w:eastAsia="仿宋_GB2312"/>
                <w:sz w:val="24"/>
                <w:color w:val="000000"/>
              </w:rPr>
              <w:t>11.审核承包人已完成的合格的工程量，协助委托人搞好工程计量及变更工程量的核增和核减；监理人应根据工程施工承包合同的付款约定，签发进度款付款凭证，报委托人核定支付，严格进行投资控制。凡涉及增加和减少工程投资的设计变更、经济签证，监理人提出具体意见后报委托人签认后生效。</w:t>
            </w:r>
          </w:p>
          <w:p>
            <w:pPr>
              <w:pStyle w:val="null3"/>
              <w:ind w:firstLine="480"/>
              <w:jc w:val="left"/>
            </w:pPr>
            <w:r>
              <w:rPr>
                <w:rFonts w:ascii="仿宋_GB2312" w:hAnsi="仿宋_GB2312" w:cs="仿宋_GB2312" w:eastAsia="仿宋_GB2312"/>
                <w:sz w:val="24"/>
                <w:color w:val="000000"/>
              </w:rPr>
              <w:t>12.监督检查承包人的管理制度、质量保证体系、文明施工及安全生产保证体系。</w:t>
            </w:r>
          </w:p>
          <w:p>
            <w:pPr>
              <w:pStyle w:val="null3"/>
              <w:ind w:firstLine="480"/>
              <w:jc w:val="left"/>
            </w:pPr>
            <w:r>
              <w:rPr>
                <w:rFonts w:ascii="仿宋_GB2312" w:hAnsi="仿宋_GB2312" w:cs="仿宋_GB2312" w:eastAsia="仿宋_GB2312"/>
                <w:sz w:val="24"/>
                <w:color w:val="000000"/>
              </w:rPr>
              <w:t>13.协助委托人召集设计部门、承包人分析及处理工程质量事故，监督处理方案的实施，并进行质量验收。</w:t>
            </w:r>
          </w:p>
          <w:p>
            <w:pPr>
              <w:pStyle w:val="null3"/>
              <w:ind w:firstLine="480"/>
              <w:jc w:val="left"/>
            </w:pPr>
            <w:r>
              <w:rPr>
                <w:rFonts w:ascii="仿宋_GB2312" w:hAnsi="仿宋_GB2312" w:cs="仿宋_GB2312" w:eastAsia="仿宋_GB2312"/>
                <w:sz w:val="24"/>
                <w:color w:val="000000"/>
              </w:rPr>
              <w:t>14.根据需要定期组织工程现场协调会，协调有关工程问题，并出具会议纪要。</w:t>
            </w:r>
          </w:p>
          <w:p>
            <w:pPr>
              <w:pStyle w:val="null3"/>
              <w:ind w:firstLine="480"/>
              <w:jc w:val="left"/>
            </w:pPr>
            <w:r>
              <w:rPr>
                <w:rFonts w:ascii="仿宋_GB2312" w:hAnsi="仿宋_GB2312" w:cs="仿宋_GB2312" w:eastAsia="仿宋_GB2312"/>
                <w:sz w:val="24"/>
                <w:color w:val="000000"/>
              </w:rPr>
              <w:t>15.根据承包人提出的整体工程竣工验收申请报告，负责组织竣工初验，签署由承包人提出的竣工验收报告；协助委托人组织工程竣工验收，并提供工程项目 施工阶段质量评估意见；监理工作完成后，监理人应提交一份监理工作总结供委 托人存档。</w:t>
            </w:r>
          </w:p>
          <w:p>
            <w:pPr>
              <w:pStyle w:val="null3"/>
              <w:ind w:firstLine="480"/>
              <w:jc w:val="left"/>
            </w:pPr>
            <w:r>
              <w:rPr>
                <w:rFonts w:ascii="仿宋_GB2312" w:hAnsi="仿宋_GB2312" w:cs="仿宋_GB2312" w:eastAsia="仿宋_GB2312"/>
                <w:sz w:val="24"/>
                <w:color w:val="000000"/>
              </w:rPr>
              <w:t>16.配合工程预、结算，根据工程施工承包合同的具体约定，对工程结算进行 审核与签证，并提出竣工结算审核意见书。</w:t>
            </w:r>
          </w:p>
          <w:p>
            <w:pPr>
              <w:pStyle w:val="null3"/>
              <w:ind w:firstLine="480"/>
              <w:jc w:val="left"/>
            </w:pPr>
            <w:r>
              <w:rPr>
                <w:rFonts w:ascii="仿宋_GB2312" w:hAnsi="仿宋_GB2312" w:cs="仿宋_GB2312" w:eastAsia="仿宋_GB2312"/>
                <w:sz w:val="24"/>
                <w:color w:val="000000"/>
              </w:rPr>
              <w:t>17.编制、整理工程监理归档文件并报委托人。</w:t>
            </w:r>
          </w:p>
          <w:p>
            <w:pPr>
              <w:pStyle w:val="null3"/>
              <w:ind w:firstLine="480"/>
              <w:jc w:val="left"/>
            </w:pPr>
            <w:r>
              <w:rPr>
                <w:rFonts w:ascii="仿宋_GB2312" w:hAnsi="仿宋_GB2312" w:cs="仿宋_GB2312" w:eastAsia="仿宋_GB2312"/>
                <w:sz w:val="24"/>
                <w:color w:val="000000"/>
              </w:rPr>
              <w:t>18.其他依法应由监理履行的职责。</w:t>
            </w:r>
          </w:p>
          <w:p>
            <w:pPr>
              <w:pStyle w:val="null3"/>
              <w:ind w:firstLine="480"/>
              <w:jc w:val="left"/>
            </w:pPr>
            <w:r>
              <w:rPr>
                <w:rFonts w:ascii="仿宋_GB2312" w:hAnsi="仿宋_GB2312" w:cs="仿宋_GB2312" w:eastAsia="仿宋_GB2312"/>
                <w:sz w:val="24"/>
                <w:color w:val="000000"/>
              </w:rPr>
              <w:t>在本合同履行期内，根据相关规定及现行国家标准及委托单位的要求，严格完成项目过程中及验收时的工作。保留工作所用的图纸、报告及记录监理工作的相关文件。工程竣工后，应当按照档案管理规定将监理有关文件归档，包括但不限于以下内容：施工阶段监理资料的管理、施工阶段的监理月报、监理工作总结、设备采购监理与设备监造。</w:t>
            </w:r>
          </w:p>
          <w:p>
            <w:pPr>
              <w:pStyle w:val="null3"/>
              <w:ind w:firstLine="480"/>
              <w:jc w:val="left"/>
            </w:pPr>
            <w:r>
              <w:rPr>
                <w:rFonts w:ascii="仿宋_GB2312" w:hAnsi="仿宋_GB2312" w:cs="仿宋_GB2312" w:eastAsia="仿宋_GB2312"/>
                <w:sz w:val="24"/>
                <w:color w:val="000000"/>
              </w:rPr>
              <w:t>所有监理资料必须及时整理、真实完整、分类有序。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拟派监理服务团队的人员数量、专业配置、技术经验应完全满足项目的需要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合同签订后300日历天，监理进场日期具体以招标人通知为准，直至整体工程竣工验收合格并办理竣工结算结束为止。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爱琴海温泉酒店以东、骊山苑以西、秦唐大道以南、康复西路以北。</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项目竣工验收合格之日起7天内组织验收，达到付款条件起7日内，支付合同总金额的100%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递交响应文件，正本壹份、副本贰份，电子文件（U盘）壹份，电子文件随正本密封。若线上电子响应文件与纸质响应文件不一致以电子响应文件为准；若正本和副本不符，以正本为准。 线下递交时间同线上响应文件递交截止时间 ；线下递交文件地点：西安市临潼区秦陵南路20号陕西恒益鼎工程项目管理有限公司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税收和社保证明：提供投标截止时间前6个月内任意一个月的依法缴纳的税收和社保证明（社会保障资金缴存单据或社保机构开具的社会保险参保缴费情况证明）；依法免税或不需要缴纳社会保障资金的应提供相关证明材料； （2）参加政府采购活动前三年内，在经营活动中没有重大违法记录的书面声明； （3）履行合同所必需的设备和专业技术能力的书面声明；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 xml:space="preserve">供应商需在项目电子化交易系统中按要求上传相应证明文件并进行电子签章。财务状况报告：提供2023年度经审计的财务审计报告 (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 </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供应商应具备【工程监理综合资质】及以上，或【市政公用工程监理乙级】及以上资质并在人员、设备、资金等方面具备相应的能力；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总监理工程师资质</w:t>
            </w:r>
          </w:p>
        </w:tc>
        <w:tc>
          <w:tcPr>
            <w:tcW w:type="dxa" w:w="3322"/>
          </w:tcPr>
          <w:p>
            <w:pPr>
              <w:pStyle w:val="null3"/>
            </w:pPr>
            <w:r>
              <w:rPr>
                <w:rFonts w:ascii="仿宋_GB2312" w:hAnsi="仿宋_GB2312" w:cs="仿宋_GB2312" w:eastAsia="仿宋_GB2312"/>
              </w:rPr>
              <w:t>拟派项目总监具有【注册监理工程师】及以上执业资格（市政公用工程专业），在本单位注册，且未担任其他在监工程项目的项目总监；</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响应文件封面 供应商应提交的相关资格证明材料.docx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响应文件封面 业绩.docx 供应商应提交的相关资格证明材料.docx 服务内容及服务邀请应答表 中小企业声明函 残疾人福利性单位声明函 商务应答表 服务方案 标的清单 项目投入主要人员汇总表.docx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投标报价是否唯一，是否超过招标文件中规定的采购预算或最高限价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是否满足招标文件要求</w:t>
            </w:r>
          </w:p>
        </w:tc>
        <w:tc>
          <w:tcPr>
            <w:tcW w:type="dxa" w:w="1661"/>
          </w:tcPr>
          <w:p>
            <w:pPr>
              <w:pStyle w:val="null3"/>
            </w:pPr>
            <w:r>
              <w:rPr>
                <w:rFonts w:ascii="仿宋_GB2312" w:hAnsi="仿宋_GB2312" w:cs="仿宋_GB2312" w:eastAsia="仿宋_GB2312"/>
              </w:rPr>
              <w:t>响应文件封面 业绩.docx 服务内容及服务邀请应答表 服务方案 项目投入主要人员汇总表.docx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是否满足招标文件要求</w:t>
            </w:r>
          </w:p>
        </w:tc>
        <w:tc>
          <w:tcPr>
            <w:tcW w:type="dxa" w:w="1661"/>
          </w:tcPr>
          <w:p>
            <w:pPr>
              <w:pStyle w:val="null3"/>
            </w:pPr>
            <w:r>
              <w:rPr>
                <w:rFonts w:ascii="仿宋_GB2312" w:hAnsi="仿宋_GB2312" w:cs="仿宋_GB2312" w:eastAsia="仿宋_GB2312"/>
              </w:rPr>
              <w:t>响应文件封面 服务内容及服务邀请应答表 商务应答表 服务方案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监理工作目标及依据</w:t>
            </w:r>
          </w:p>
        </w:tc>
        <w:tc>
          <w:tcPr>
            <w:tcW w:type="dxa" w:w="2492"/>
          </w:tcPr>
          <w:p>
            <w:pPr>
              <w:pStyle w:val="null3"/>
            </w:pPr>
            <w:r>
              <w:rPr>
                <w:rFonts w:ascii="仿宋_GB2312" w:hAnsi="仿宋_GB2312" w:cs="仿宋_GB2312" w:eastAsia="仿宋_GB2312"/>
              </w:rPr>
              <w:t>根据监理总体的工作目标、监理内容、监理方法、监理依据等描述详尽、合理，切实可行，评标委员会在0-5分之间自主赋分。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项目投入主要人员汇总表.docx</w:t>
            </w:r>
          </w:p>
        </w:tc>
      </w:tr>
      <w:tr>
        <w:tc>
          <w:tcPr>
            <w:tcW w:type="dxa" w:w="831"/>
            <w:vMerge/>
          </w:tcPr>
          <w:p/>
        </w:tc>
        <w:tc>
          <w:tcPr>
            <w:tcW w:type="dxa" w:w="1661"/>
          </w:tcPr>
          <w:p>
            <w:pPr>
              <w:pStyle w:val="null3"/>
            </w:pPr>
            <w:r>
              <w:rPr>
                <w:rFonts w:ascii="仿宋_GB2312" w:hAnsi="仿宋_GB2312" w:cs="仿宋_GB2312" w:eastAsia="仿宋_GB2312"/>
              </w:rPr>
              <w:t>质量控制管理措施</w:t>
            </w:r>
          </w:p>
        </w:tc>
        <w:tc>
          <w:tcPr>
            <w:tcW w:type="dxa" w:w="2492"/>
          </w:tcPr>
          <w:p>
            <w:pPr>
              <w:pStyle w:val="null3"/>
            </w:pPr>
            <w:r>
              <w:rPr>
                <w:rFonts w:ascii="仿宋_GB2312" w:hAnsi="仿宋_GB2312" w:cs="仿宋_GB2312" w:eastAsia="仿宋_GB2312"/>
              </w:rPr>
              <w:t>根据质量控制管理措施完整且切实可行，描述清晰，且能针对性满足本项目，评标委员会在0-5分之间自主赋分。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项目投入主要人员汇总表.docx</w:t>
            </w:r>
          </w:p>
        </w:tc>
      </w:tr>
      <w:tr>
        <w:tc>
          <w:tcPr>
            <w:tcW w:type="dxa" w:w="831"/>
            <w:vMerge/>
          </w:tcPr>
          <w:p/>
        </w:tc>
        <w:tc>
          <w:tcPr>
            <w:tcW w:type="dxa" w:w="1661"/>
          </w:tcPr>
          <w:p>
            <w:pPr>
              <w:pStyle w:val="null3"/>
            </w:pPr>
            <w:r>
              <w:rPr>
                <w:rFonts w:ascii="仿宋_GB2312" w:hAnsi="仿宋_GB2312" w:cs="仿宋_GB2312" w:eastAsia="仿宋_GB2312"/>
              </w:rPr>
              <w:t>安全文明施工监督管理措施</w:t>
            </w:r>
          </w:p>
        </w:tc>
        <w:tc>
          <w:tcPr>
            <w:tcW w:type="dxa" w:w="2492"/>
          </w:tcPr>
          <w:p>
            <w:pPr>
              <w:pStyle w:val="null3"/>
            </w:pPr>
            <w:r>
              <w:rPr>
                <w:rFonts w:ascii="仿宋_GB2312" w:hAnsi="仿宋_GB2312" w:cs="仿宋_GB2312" w:eastAsia="仿宋_GB2312"/>
              </w:rPr>
              <w:t>根据安全文明施工监督管理措施完整且切实可行，描述清晰，且能针对性满足本项目，评标委员会在0-5分之间自主赋分。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项目投入主要人员汇总表.docx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进度控制管理措施</w:t>
            </w:r>
          </w:p>
        </w:tc>
        <w:tc>
          <w:tcPr>
            <w:tcW w:type="dxa" w:w="2492"/>
          </w:tcPr>
          <w:p>
            <w:pPr>
              <w:pStyle w:val="null3"/>
            </w:pPr>
            <w:r>
              <w:rPr>
                <w:rFonts w:ascii="仿宋_GB2312" w:hAnsi="仿宋_GB2312" w:cs="仿宋_GB2312" w:eastAsia="仿宋_GB2312"/>
              </w:rPr>
              <w:t>根据进度控制管理措施完整且切实可行，描述清晰，且能针对性满足本项目，评标委员会在0-5分之间自主赋分。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项目投入主要人员汇总表.docx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投资控制管理措施</w:t>
            </w:r>
          </w:p>
        </w:tc>
        <w:tc>
          <w:tcPr>
            <w:tcW w:type="dxa" w:w="2492"/>
          </w:tcPr>
          <w:p>
            <w:pPr>
              <w:pStyle w:val="null3"/>
            </w:pPr>
            <w:r>
              <w:rPr>
                <w:rFonts w:ascii="仿宋_GB2312" w:hAnsi="仿宋_GB2312" w:cs="仿宋_GB2312" w:eastAsia="仿宋_GB2312"/>
              </w:rPr>
              <w:t>根据投资控制管理措施完整且切实可行，描述清晰，且能针对性满足本项目，评标委员会在0-5分之间自主赋分。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项目投入主要人员汇总表.docx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信息、合同及监理资料协调管理措施</w:t>
            </w:r>
          </w:p>
        </w:tc>
        <w:tc>
          <w:tcPr>
            <w:tcW w:type="dxa" w:w="2492"/>
          </w:tcPr>
          <w:p>
            <w:pPr>
              <w:pStyle w:val="null3"/>
            </w:pPr>
            <w:r>
              <w:rPr>
                <w:rFonts w:ascii="仿宋_GB2312" w:hAnsi="仿宋_GB2312" w:cs="仿宋_GB2312" w:eastAsia="仿宋_GB2312"/>
              </w:rPr>
              <w:t>根据信息、合同及监理资料协调管理措施完整且切实可行，描述清晰，且能针对性满足本项目，评标委员会在0-5分之间自主赋分。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项目投入主要人员汇总表.docx</w:t>
            </w:r>
          </w:p>
        </w:tc>
      </w:tr>
      <w:tr>
        <w:tc>
          <w:tcPr>
            <w:tcW w:type="dxa" w:w="831"/>
            <w:vMerge/>
          </w:tcPr>
          <w:p/>
        </w:tc>
        <w:tc>
          <w:tcPr>
            <w:tcW w:type="dxa" w:w="1661"/>
          </w:tcPr>
          <w:p>
            <w:pPr>
              <w:pStyle w:val="null3"/>
            </w:pPr>
            <w:r>
              <w:rPr>
                <w:rFonts w:ascii="仿宋_GB2312" w:hAnsi="仿宋_GB2312" w:cs="仿宋_GB2312" w:eastAsia="仿宋_GB2312"/>
              </w:rPr>
              <w:t>需24小时旁站跟踪监理的重要部位、工序清单</w:t>
            </w:r>
          </w:p>
        </w:tc>
        <w:tc>
          <w:tcPr>
            <w:tcW w:type="dxa" w:w="2492"/>
          </w:tcPr>
          <w:p>
            <w:pPr>
              <w:pStyle w:val="null3"/>
            </w:pPr>
            <w:r>
              <w:rPr>
                <w:rFonts w:ascii="仿宋_GB2312" w:hAnsi="仿宋_GB2312" w:cs="仿宋_GB2312" w:eastAsia="仿宋_GB2312"/>
              </w:rPr>
              <w:t>根据方案内容完整，描述清晰，且能针对性满足本项目，评标委员会在0-5分之间自主赋分。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项目投入主要人员汇总表.docx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各方组织协调措施</w:t>
            </w:r>
          </w:p>
        </w:tc>
        <w:tc>
          <w:tcPr>
            <w:tcW w:type="dxa" w:w="2492"/>
          </w:tcPr>
          <w:p>
            <w:pPr>
              <w:pStyle w:val="null3"/>
            </w:pPr>
            <w:r>
              <w:rPr>
                <w:rFonts w:ascii="仿宋_GB2312" w:hAnsi="仿宋_GB2312" w:cs="仿宋_GB2312" w:eastAsia="仿宋_GB2312"/>
              </w:rPr>
              <w:t>根据各方组织协调措施完整且切实可行，描述清晰，且能针对性满足本项目，评标委员会在0-5分之间自主赋分。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项目投入主要人员汇总表.docx</w:t>
            </w:r>
          </w:p>
        </w:tc>
      </w:tr>
      <w:tr>
        <w:tc>
          <w:tcPr>
            <w:tcW w:type="dxa" w:w="831"/>
            <w:vMerge/>
          </w:tcPr>
          <w:p/>
        </w:tc>
        <w:tc>
          <w:tcPr>
            <w:tcW w:type="dxa" w:w="1661"/>
          </w:tcPr>
          <w:p>
            <w:pPr>
              <w:pStyle w:val="null3"/>
            </w:pPr>
            <w:r>
              <w:rPr>
                <w:rFonts w:ascii="仿宋_GB2312" w:hAnsi="仿宋_GB2312" w:cs="仿宋_GB2312" w:eastAsia="仿宋_GB2312"/>
              </w:rPr>
              <w:t>重点项目、关键部位及关键环节、工序的检测控制方案</w:t>
            </w:r>
          </w:p>
        </w:tc>
        <w:tc>
          <w:tcPr>
            <w:tcW w:type="dxa" w:w="2492"/>
          </w:tcPr>
          <w:p>
            <w:pPr>
              <w:pStyle w:val="null3"/>
            </w:pPr>
            <w:r>
              <w:rPr>
                <w:rFonts w:ascii="仿宋_GB2312" w:hAnsi="仿宋_GB2312" w:cs="仿宋_GB2312" w:eastAsia="仿宋_GB2312"/>
              </w:rPr>
              <w:t>根据方案内容完整，描述清晰，且能针对性满足本项目，评标委员会在0-5分之间自主赋分。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项目投入主要人员汇总表.docx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保修阶段的服务管理措施</w:t>
            </w:r>
          </w:p>
        </w:tc>
        <w:tc>
          <w:tcPr>
            <w:tcW w:type="dxa" w:w="2492"/>
          </w:tcPr>
          <w:p>
            <w:pPr>
              <w:pStyle w:val="null3"/>
            </w:pPr>
            <w:r>
              <w:rPr>
                <w:rFonts w:ascii="仿宋_GB2312" w:hAnsi="仿宋_GB2312" w:cs="仿宋_GB2312" w:eastAsia="仿宋_GB2312"/>
              </w:rPr>
              <w:t>根据保修阶段的服务管理措施完整且切实可行，描述清晰，且能针对性满足本项目，评标委员会在0-5分之间自主赋分。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项目投入主要人员汇总表.docx</w:t>
            </w:r>
          </w:p>
        </w:tc>
      </w:tr>
      <w:tr>
        <w:tc>
          <w:tcPr>
            <w:tcW w:type="dxa" w:w="831"/>
            <w:vMerge/>
          </w:tcPr>
          <w:p/>
        </w:tc>
        <w:tc>
          <w:tcPr>
            <w:tcW w:type="dxa" w:w="1661"/>
          </w:tcPr>
          <w:p>
            <w:pPr>
              <w:pStyle w:val="null3"/>
            </w:pPr>
            <w:r>
              <w:rPr>
                <w:rFonts w:ascii="仿宋_GB2312" w:hAnsi="仿宋_GB2312" w:cs="仿宋_GB2312" w:eastAsia="仿宋_GB2312"/>
              </w:rPr>
              <w:t>拟派项目组成人员</w:t>
            </w:r>
          </w:p>
        </w:tc>
        <w:tc>
          <w:tcPr>
            <w:tcW w:type="dxa" w:w="2492"/>
          </w:tcPr>
          <w:p>
            <w:pPr>
              <w:pStyle w:val="null3"/>
            </w:pPr>
            <w:r>
              <w:rPr>
                <w:rFonts w:ascii="仿宋_GB2312" w:hAnsi="仿宋_GB2312" w:cs="仿宋_GB2312" w:eastAsia="仿宋_GB2312"/>
              </w:rPr>
              <w:t>1、拟投入的项目团队人员数量、分工情况，对监理工作能有效支撑且岗位职责明确清晰，评标委员会根据投标文件在0-10分之间自主赋分。 2、项目组成员具有相关专业中级及以上职称的，每提供1名得2分，满分10分，以供应商响应文件中所附的人员证书复印件为准，不提供则不得分。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项目投入主要人员汇总表.docx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供应商提供的 2020 年 01 月 01 日至今（以合同签订时间为准）类似项目业绩，每份计2分；满分10分，（提供合同或中标通知书复印件或扫描件，并加盖单位公章）。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项目实施各阶段的监理措施，安排合理、后期服务承诺可行，评标委员会在0-10分之间自主赋分。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项目投入主要人员汇总表.docx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 投标报价得分=(评标基准价／投标报价)×报价分值 ×100 注：1、计算分数时四舍五入取小数点后两位； 2、落实政府采购政策参见政府采购政策评分标准； 3、本项目专门面向中小企业采购，不再执行价格评审优惠的扶持政策。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详见附件：项目投入主要人员汇总表.docx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