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版本号：HYDZB202501420250415001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无军籍职工体检服务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HYDZB2025014</w:t>
      </w:r>
      <w:r>
        <w:br/>
      </w:r>
      <w:r>
        <w:br/>
      </w:r>
      <w:r>
        <w:br/>
      </w:r>
    </w:p>
    <w:p>
      <w:pPr>
        <w:pStyle w:val="null3"/>
        <w:jc w:val="center"/>
        <w:outlineLvl w:val="2"/>
      </w:pPr>
      <w:r>
        <w:rPr>
          <w:rFonts w:ascii="仿宋_GB2312" w:hAnsi="仿宋_GB2312" w:cs="仿宋_GB2312" w:eastAsia="仿宋_GB2312"/>
          <w:sz w:val="28"/>
          <w:b/>
        </w:rPr>
        <w:t>西安市临潼区退役军人事务局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西安市临潼区退役军人事务局</w:t>
      </w:r>
      <w:r>
        <w:rPr>
          <w:rFonts w:ascii="仿宋_GB2312" w:hAnsi="仿宋_GB2312" w:cs="仿宋_GB2312" w:eastAsia="仿宋_GB2312"/>
        </w:rPr>
        <w:t>委托，拟对</w:t>
      </w:r>
      <w:r>
        <w:rPr>
          <w:rFonts w:ascii="仿宋_GB2312" w:hAnsi="仿宋_GB2312" w:cs="仿宋_GB2312" w:eastAsia="仿宋_GB2312"/>
        </w:rPr>
        <w:t>无军籍职工体检服务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无军籍职工体检服务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为切实做好我区无军籍职工健康服务保障，按照工作惯例，开展无军籍职工体检工作。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采购包1（无军籍职工体检服务）：属于专门面向中小企业采购。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3、供应商资质：供应商具有卫生行政部门核准登记取得的《医疗机构执业许可证》和《放射诊疗许可证》，提供证书复印件并加盖单位公章；</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西安市临潼区秦陵北路190号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临潼区退役军人事务局经办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029-83910816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西安市临潼区退役军人事务局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西安市临潼区退役军人事务局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符合国家、行业、地方规定及采购人要求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联系人：万工 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为切实做好我区无军籍职工健康服务保障，按照工作惯例，开展无军籍职工体检工作。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449,900.00</w:t>
      </w:r>
    </w:p>
    <w:p>
      <w:pPr>
        <w:pStyle w:val="null3"/>
      </w:pPr>
      <w:r>
        <w:rPr>
          <w:rFonts w:ascii="仿宋_GB2312" w:hAnsi="仿宋_GB2312" w:cs="仿宋_GB2312" w:eastAsia="仿宋_GB2312"/>
        </w:rPr>
        <w:t>采购包最高限价（元）: 449,900.00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无军籍职工体检服务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标的名称：无军籍职工体检服务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0"/>
              <w:jc w:val="left"/>
            </w:pPr>
            <w:r>
              <w:rPr>
                <w:rFonts w:ascii="仿宋_GB2312" w:hAnsi="仿宋_GB2312" w:cs="仿宋_GB2312" w:eastAsia="仿宋_GB2312"/>
                <w:sz w:val="24"/>
                <w:color w:val="000000"/>
              </w:rPr>
              <w:t>本项目退役军人事务局体检总人数约</w:t>
            </w:r>
            <w:r>
              <w:rPr>
                <w:rFonts w:ascii="仿宋_GB2312" w:hAnsi="仿宋_GB2312" w:cs="仿宋_GB2312" w:eastAsia="仿宋_GB2312"/>
                <w:sz w:val="24"/>
                <w:color w:val="000000"/>
                <w:u w:val="single"/>
              </w:rPr>
              <w:t>408</w:t>
            </w:r>
            <w:r>
              <w:rPr>
                <w:rFonts w:ascii="仿宋_GB2312" w:hAnsi="仿宋_GB2312" w:cs="仿宋_GB2312" w:eastAsia="仿宋_GB2312"/>
                <w:sz w:val="24"/>
                <w:color w:val="000000"/>
              </w:rPr>
              <w:t>人，</w:t>
            </w:r>
            <w:r>
              <w:rPr>
                <w:rFonts w:ascii="仿宋_GB2312" w:hAnsi="仿宋_GB2312" w:cs="仿宋_GB2312" w:eastAsia="仿宋_GB2312"/>
                <w:sz w:val="24"/>
                <w:color w:val="000000"/>
              </w:rPr>
              <w:t>男性人数约</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189</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人，女性人数约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219</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采购内容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p>
          <w:tbl>
            <w:tblPr>
              <w:tblInd w:type="dxa" w:w="90"/>
              <w:tblBorders>
                <w:top w:val="none" w:color="000000" w:sz="4"/>
                <w:left w:val="none" w:color="000000" w:sz="4"/>
                <w:bottom w:val="none" w:color="000000" w:sz="4"/>
                <w:right w:val="none" w:color="000000" w:sz="4"/>
                <w:insideH w:val="none"/>
                <w:insideV w:val="none"/>
              </w:tblBorders>
            </w:tblPr>
            <w:tblGrid>
              <w:gridCol w:w="449"/>
              <w:gridCol w:w="1407"/>
            </w:tblGrid>
            <w:tr>
              <w:tc>
                <w:tcPr>
                  <w:tcW w:type="dxa" w:w="44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科室</w:t>
                  </w:r>
                </w:p>
              </w:tc>
              <w:tc>
                <w:tcPr>
                  <w:tcW w:type="dxa" w:w="14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分组</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w:t>
                  </w:r>
                </w:p>
              </w:tc>
            </w:tr>
            <w:tr>
              <w:tc>
                <w:tcPr>
                  <w:tcW w:type="dxa" w:w="449"/>
                  <w:vMerge/>
                  <w:tcBorders>
                    <w:top w:val="single" w:color="000000" w:sz="4"/>
                    <w:left w:val="single" w:color="000000" w:sz="4"/>
                    <w:bottom w:val="single" w:color="000000" w:sz="4"/>
                    <w:right w:val="single" w:color="000000" w:sz="4"/>
                  </w:tcBorders>
                </w:tcPr>
                <w:p/>
              </w:tc>
              <w:tc>
                <w:tcPr>
                  <w:tcW w:type="dxa" w:w="1407"/>
                  <w:vMerge/>
                  <w:tcBorders>
                    <w:top w:val="single" w:color="000000" w:sz="4"/>
                    <w:left w:val="none" w:color="000000" w:sz="4"/>
                    <w:bottom w:val="single" w:color="000000" w:sz="4"/>
                    <w:right w:val="single" w:color="000000" w:sz="4"/>
                  </w:tcBorders>
                </w:tcP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临床专科检查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w:t>
                  </w:r>
                  <w:r>
                    <w:rPr>
                      <w:rFonts w:ascii="仿宋_GB2312" w:hAnsi="仿宋_GB2312" w:cs="仿宋_GB2312" w:eastAsia="仿宋_GB2312"/>
                      <w:sz w:val="24"/>
                      <w:color w:val="000000"/>
                    </w:rPr>
                    <w:t>5项(身高，体重、血压、心率、体重指数)</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内科常规</w:t>
                  </w: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功能科室检查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心电图</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眼底检查</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骨密度检测</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经颅多普勒</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胸部</w:t>
                  </w:r>
                  <w:r>
                    <w:rPr>
                      <w:rFonts w:ascii="仿宋_GB2312" w:hAnsi="仿宋_GB2312" w:cs="仿宋_GB2312" w:eastAsia="仿宋_GB2312"/>
                      <w:sz w:val="24"/>
                      <w:color w:val="000000"/>
                    </w:rPr>
                    <w:t>DR</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颈椎</w:t>
                  </w:r>
                  <w:r>
                    <w:rPr>
                      <w:rFonts w:ascii="仿宋_GB2312" w:hAnsi="仿宋_GB2312" w:cs="仿宋_GB2312" w:eastAsia="仿宋_GB2312"/>
                      <w:sz w:val="24"/>
                      <w:color w:val="000000"/>
                    </w:rPr>
                    <w:t>DR</w:t>
                  </w:r>
                </w:p>
              </w:tc>
            </w:tr>
            <w:tr>
              <w:tc>
                <w:tcPr>
                  <w:tcW w:type="dxa" w:w="44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彩超检查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腹部彩超（肝、胆、胰、脾、肾）</w:t>
                  </w:r>
                </w:p>
              </w:tc>
            </w:tr>
            <w:tr>
              <w:tc>
                <w:tcPr>
                  <w:tcW w:type="dxa" w:w="449"/>
                  <w:vMerge/>
                  <w:tcBorders>
                    <w:top w:val="none" w:color="000000" w:sz="4"/>
                    <w:left w:val="single" w:color="000000" w:sz="4"/>
                    <w:bottom w:val="non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盆腔彩超（子宫附件、前列腺、膀胱）</w:t>
                  </w:r>
                </w:p>
              </w:tc>
            </w:tr>
            <w:tr>
              <w:tc>
                <w:tcPr>
                  <w:tcW w:type="dxa" w:w="449"/>
                  <w:vMerge/>
                  <w:tcBorders>
                    <w:top w:val="none" w:color="000000" w:sz="4"/>
                    <w:left w:val="single" w:color="000000" w:sz="4"/>
                    <w:bottom w:val="non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颈动脉彩超</w:t>
                  </w:r>
                </w:p>
              </w:tc>
            </w:tr>
            <w:tr>
              <w:tc>
                <w:tcPr>
                  <w:tcW w:type="dxa" w:w="449"/>
                  <w:vMerge/>
                  <w:tcBorders>
                    <w:top w:val="none" w:color="000000" w:sz="4"/>
                    <w:left w:val="single" w:color="000000" w:sz="4"/>
                    <w:bottom w:val="non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甲状腺彩超</w:t>
                  </w:r>
                </w:p>
              </w:tc>
            </w:tr>
            <w:tr>
              <w:tc>
                <w:tcPr>
                  <w:tcW w:type="dxa" w:w="449"/>
                  <w:vMerge/>
                  <w:tcBorders>
                    <w:top w:val="none" w:color="000000" w:sz="4"/>
                    <w:left w:val="single" w:color="000000" w:sz="4"/>
                    <w:bottom w:val="non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乳腺彩超</w:t>
                  </w:r>
                </w:p>
              </w:tc>
            </w:tr>
            <w:tr>
              <w:tc>
                <w:tcPr>
                  <w:tcW w:type="dxa" w:w="449"/>
                  <w:vMerge/>
                  <w:tcBorders>
                    <w:top w:val="none" w:color="000000" w:sz="4"/>
                    <w:left w:val="single" w:color="000000" w:sz="4"/>
                    <w:bottom w:val="non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心脏彩超</w:t>
                  </w:r>
                </w:p>
              </w:tc>
            </w:tr>
            <w:tr>
              <w:tc>
                <w:tcPr>
                  <w:tcW w:type="dxa" w:w="449"/>
                  <w:vMerge/>
                  <w:tcBorders>
                    <w:top w:val="none" w:color="000000" w:sz="4"/>
                    <w:left w:val="single" w:color="000000" w:sz="4"/>
                    <w:bottom w:val="non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腋下淋巴结彩超</w:t>
                  </w:r>
                </w:p>
              </w:tc>
            </w:tr>
            <w:tr>
              <w:tc>
                <w:tcPr>
                  <w:tcW w:type="dxa" w:w="44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妇科检查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妇科常规</w:t>
                  </w:r>
                </w:p>
              </w:tc>
            </w:tr>
            <w:tr>
              <w:tc>
                <w:tcPr>
                  <w:tcW w:type="dxa" w:w="449"/>
                  <w:vMerge/>
                  <w:tcBorders>
                    <w:top w:val="singl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白带常规</w:t>
                  </w: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检验科检查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静脉采血</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5分类</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尿常规</w:t>
                  </w:r>
                  <w:r>
                    <w:rPr>
                      <w:rFonts w:ascii="仿宋_GB2312" w:hAnsi="仿宋_GB2312" w:cs="仿宋_GB2312" w:eastAsia="仿宋_GB2312"/>
                      <w:sz w:val="24"/>
                      <w:color w:val="000000"/>
                    </w:rPr>
                    <w:t>11项</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血糖</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血脂</w:t>
                  </w:r>
                  <w:r>
                    <w:rPr>
                      <w:rFonts w:ascii="仿宋_GB2312" w:hAnsi="仿宋_GB2312" w:cs="仿宋_GB2312" w:eastAsia="仿宋_GB2312"/>
                      <w:sz w:val="24"/>
                      <w:color w:val="000000"/>
                    </w:rPr>
                    <w:t>4项</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肾功</w:t>
                  </w:r>
                  <w:r>
                    <w:rPr>
                      <w:rFonts w:ascii="仿宋_GB2312" w:hAnsi="仿宋_GB2312" w:cs="仿宋_GB2312" w:eastAsia="仿宋_GB2312"/>
                      <w:sz w:val="24"/>
                      <w:color w:val="000000"/>
                    </w:rPr>
                    <w:t>3项</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肝功</w:t>
                  </w:r>
                  <w:r>
                    <w:rPr>
                      <w:rFonts w:ascii="仿宋_GB2312" w:hAnsi="仿宋_GB2312" w:cs="仿宋_GB2312" w:eastAsia="仿宋_GB2312"/>
                      <w:sz w:val="24"/>
                      <w:color w:val="000000"/>
                    </w:rPr>
                    <w:t>10项</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乙肝</w:t>
                  </w:r>
                  <w:r>
                    <w:rPr>
                      <w:rFonts w:ascii="仿宋_GB2312" w:hAnsi="仿宋_GB2312" w:cs="仿宋_GB2312" w:eastAsia="仿宋_GB2312"/>
                      <w:sz w:val="24"/>
                      <w:color w:val="000000"/>
                    </w:rPr>
                    <w:t>5项</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血流变</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心肌酶</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幽门螺杆菌检测</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前列腺特异性抗原</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肿瘤二项（甲胎蛋白、癌胚抗原）</w:t>
                  </w: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优惠增值服务</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医生咨询</w:t>
                  </w:r>
                  <w:r>
                    <w:rPr>
                      <w:rFonts w:ascii="仿宋_GB2312" w:hAnsi="仿宋_GB2312" w:cs="仿宋_GB2312" w:eastAsia="仿宋_GB2312"/>
                      <w:sz w:val="24"/>
                      <w:color w:val="000000"/>
                    </w:rPr>
                    <w:t>/定期复查</w:t>
                  </w:r>
                </w:p>
              </w:tc>
            </w:tr>
            <w:tr>
              <w:tc>
                <w:tcPr>
                  <w:tcW w:type="dxa" w:w="449"/>
                  <w:vMerge/>
                  <w:tcBorders>
                    <w:top w:val="none" w:color="000000" w:sz="4"/>
                    <w:left w:val="single" w:color="000000" w:sz="4"/>
                    <w:bottom w:val="single" w:color="000000" w:sz="4"/>
                    <w:right w:val="single" w:color="000000" w:sz="4"/>
                  </w:tcBorders>
                </w:tcP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营养早餐</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80"/>
              <w:jc w:val="left"/>
            </w:pPr>
            <w:r>
              <w:rPr>
                <w:rFonts w:ascii="仿宋_GB2312" w:hAnsi="仿宋_GB2312" w:cs="仿宋_GB2312" w:eastAsia="仿宋_GB2312"/>
                <w:sz w:val="24"/>
                <w:color w:val="000000"/>
              </w:rPr>
              <w:t>1、服务标准：</w:t>
            </w:r>
            <w:r>
              <w:rPr>
                <w:rFonts w:ascii="仿宋_GB2312" w:hAnsi="仿宋_GB2312" w:cs="仿宋_GB2312" w:eastAsia="仿宋_GB2312"/>
                <w:sz w:val="24"/>
                <w:color w:val="00152A"/>
                <w:shd w:fill="FFFFFF" w:val="clear"/>
              </w:rPr>
              <w:t>符合国家、行业、地方规定及采购人要求</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1）带有★号的条款为实质性条款不得有偏离。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2）服务期限内自行前往体检服务点进行体检。</w:t>
            </w:r>
          </w:p>
          <w:p>
            <w:pPr>
              <w:pStyle w:val="null3"/>
              <w:ind w:firstLine="480"/>
              <w:jc w:val="left"/>
            </w:pPr>
            <w:r>
              <w:rPr>
                <w:rFonts w:ascii="仿宋_GB2312" w:hAnsi="仿宋_GB2312" w:cs="仿宋_GB2312" w:eastAsia="仿宋_GB2312"/>
                <w:sz w:val="24"/>
                <w:color w:val="00152A"/>
                <w:shd w:fill="FFFFFF" w:val="clear"/>
              </w:rPr>
              <w:t>（</w:t>
            </w:r>
            <w:r>
              <w:rPr>
                <w:rFonts w:ascii="仿宋_GB2312" w:hAnsi="仿宋_GB2312" w:cs="仿宋_GB2312" w:eastAsia="仿宋_GB2312"/>
                <w:sz w:val="24"/>
                <w:color w:val="00152A"/>
                <w:shd w:fill="FFFFFF" w:val="clear"/>
              </w:rPr>
              <w:t>3）合理安排，院内就医绿色通道,减少等候时间，热情服务，报告及时准确。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满足磋商文件体检项目设备配置要求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满足相关标准及采购人要求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自合同签订后90天内，具体以合同签署日期开始计算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服务期结束后，乙方向甲方提供实际体检人员明细及体检金额汇总，经双方核实无误后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线下纸质文件递交截止时间同在线递交电子响应文件截止时间一致。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 （2）参加政府采购活动前三年内，在经营活动中没有重大违法记录的书面声明； （3）履行合同所必需的设备和专业技术能力的书面声明；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供应商具有卫生行政部门核准登记取得的《医疗机构执业许可证》和《放射诊疗许可证》，提供证书复印件并加盖单位公章；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业绩.docx 服务内容及服务邀请应答表 供应商应提交的相关资格证明材料.docx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磋商文件上法定代表人或其授权代表人的签字 、盖章齐全并加盖供应商公章</w:t>
            </w:r>
          </w:p>
        </w:tc>
        <w:tc>
          <w:tcPr>
            <w:tcW w:type="dxa" w:w="1661"/>
          </w:tcPr>
          <w:p>
            <w:pPr>
              <w:pStyle w:val="null3"/>
            </w:pPr>
            <w:r>
              <w:rPr>
                <w:rFonts w:ascii="仿宋_GB2312" w:hAnsi="仿宋_GB2312" w:cs="仿宋_GB2312" w:eastAsia="仿宋_GB2312"/>
              </w:rPr>
              <w:t>响应文件封面 业绩.docx 服务内容及服务邀请应答表 供应商应提交的相关资格证明材料.docx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 的采购预算或最高限价</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服务期限及服务标准</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体检服务方案</w:t>
            </w:r>
          </w:p>
        </w:tc>
        <w:tc>
          <w:tcPr>
            <w:tcW w:type="dxa" w:w="2492"/>
          </w:tcPr>
          <w:p>
            <w:pPr>
              <w:pStyle w:val="null3"/>
            </w:pPr>
            <w:r>
              <w:rPr>
                <w:rFonts w:ascii="仿宋_GB2312" w:hAnsi="仿宋_GB2312" w:cs="仿宋_GB2312" w:eastAsia="仿宋_GB2312"/>
              </w:rPr>
              <w:t>体检服务方案包括但不限于体检流程安排、现场管理方案等，按其响应程度计0～15分。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包含但不限于体检结果质量保证措施、体检发现疾病的处理措施、体检健康管理的建议，按其响应程度计0～15分。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结合本项目要求，提供专业的服务团队，人员岗位设置专业、合理、充足，配备满足体检需求且具备相关服务资格、责任心强的医护人员。针对本项目的检查团队至少 8 名中级及以上专业技术职业医师或技师，和 10 名以上护理人员，满足以上条件计5分，除此之外，每增加一个相关专业高级职称加 1分，每增加一名副主任医师，加 0.5分，满分10分。 备注：提供人员身份证、资格证书或职称证书、与本单位签订的劳动合同或社保缴纳证明，资料不齐全的人员不计分。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项目投入主要人员汇总表.docx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为保障项目质量，提供实施过程中所必须的检测仪器清单及功能描述、试剂耗材清单，按其响应程度计0～10分。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体检资料</w:t>
            </w:r>
          </w:p>
        </w:tc>
        <w:tc>
          <w:tcPr>
            <w:tcW w:type="dxa" w:w="2492"/>
          </w:tcPr>
          <w:p>
            <w:pPr>
              <w:pStyle w:val="null3"/>
            </w:pPr>
            <w:r>
              <w:rPr>
                <w:rFonts w:ascii="仿宋_GB2312" w:hAnsi="仿宋_GB2312" w:cs="仿宋_GB2312" w:eastAsia="仿宋_GB2312"/>
              </w:rPr>
              <w:t>体检报告设置内容齐全，包括体检结果分析、健康风险评估报告、治疗建议、被检人员的体检结果详细资料及电子档案等，按其响应程度计0～5分。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对于各类突发事件 (包含但不限于体检当天出现人员过多影响体检项目进度、应急处置设备药品，被体检人员晕血、低血糖、投诉等突发情况) 制定应急处理预案。按其响应程度计0～5分。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供独立的体检空间和受检者专用通道，遵循“医检分开、相对独立”的原则，防止受检者与其他无关人员接触，按其响应程度计0～5分。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提供体检过程中个人隐私信息保密方案及体检结果保密措施，保密方案及保密措施完善、安全性高，按其响应程度计0～5分。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提供详细的后续服务方案及相关承诺，内容应包括:①体检报告移交及时性;②体检报告的准确性(需保证后期可使用体检报告直接进行就医);③提供初次体检及检后就医绿色通道;④按照专科指南，有体检阳性结果处理小组和流程，并有跟踪复诊提醒;⑤配套服务 (包括但不限于体检结果详细解读、健康讲座等)，上述内容完整合理、表述清晰，每项内容按其响应程度计0～2分，满分 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供应商提供自2022年1月1日至今具有团队体检项目业绩，磋商响应文件中附有其业绩证明材料（以合同为准，可提供关键页），每提供一个合同计2分，满分10分。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×100 注：1、计算分数时四舍五入取小数点后两位；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