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版本号：ZZHY202501301420250429001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临潼区LT9-(55)-37号宗地考古发掘劳务服务工程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ZZHY2025013014</w:t>
      </w:r>
      <w:r>
        <w:br/>
      </w:r>
      <w:r>
        <w:br/>
      </w:r>
      <w:r>
        <w:br/>
      </w:r>
    </w:p>
    <w:p>
      <w:pPr>
        <w:pStyle w:val="null3"/>
        <w:jc w:val="center"/>
        <w:outlineLvl w:val="2"/>
      </w:pPr>
      <w:r>
        <w:rPr>
          <w:rFonts w:ascii="仿宋_GB2312" w:hAnsi="仿宋_GB2312" w:cs="仿宋_GB2312" w:eastAsia="仿宋_GB2312"/>
          <w:sz w:val="28"/>
          <w:b/>
        </w:rPr>
        <w:t>西安市临潼旅游商贸开发区管理委员会</w:t>
      </w:r>
    </w:p>
    <w:p>
      <w:pPr>
        <w:pStyle w:val="null3"/>
        <w:jc w:val="center"/>
        <w:outlineLvl w:val="2"/>
      </w:pPr>
      <w:r>
        <w:rPr>
          <w:rFonts w:ascii="仿宋_GB2312" w:hAnsi="仿宋_GB2312" w:cs="仿宋_GB2312" w:eastAsia="仿宋_GB2312"/>
          <w:sz w:val="28"/>
          <w:b/>
        </w:rPr>
        <w:t>中正翰元项目管理有限公司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中正翰元项目管理有限公司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西安市临潼旅游商贸开发区管理委员会</w:t>
      </w:r>
      <w:r>
        <w:rPr>
          <w:rFonts w:ascii="仿宋_GB2312" w:hAnsi="仿宋_GB2312" w:cs="仿宋_GB2312" w:eastAsia="仿宋_GB2312"/>
        </w:rPr>
        <w:t>委托，拟对</w:t>
      </w:r>
      <w:r>
        <w:rPr>
          <w:rFonts w:ascii="仿宋_GB2312" w:hAnsi="仿宋_GB2312" w:cs="仿宋_GB2312" w:eastAsia="仿宋_GB2312"/>
        </w:rPr>
        <w:t>临潼区LT9-(55)-37号宗地考古发掘劳务服务工程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ZZHY2025013014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临潼区LT9-(55)-37号宗地考古发掘劳务服务工程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LT9-（55）-37 号宗地位于陕西省西安市临潼区骊兴路以西，骊丰一路以北。该项目建设用地总面积 177701.56 平方米（约合267亩）。 经前期文物勘探，发现古代墓葬 89 座、古代窑址 1 处、古代灰坑 20 处、古代路 1 条，现拟对以上遗迹开展考古发掘工作。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采购包1（临潼区LT9-(55)-37号宗地考古发掘劳务服务工程）：属于专门面向小微企业采购。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身份证明：法定代表人授权他人参加投标的，提供法定代表人授权书（附法定代表人、被授权人身份证复印件），法定代表人直接参加投标的，提供法定代表人身份证明及身份证复印件。</w:t>
      </w:r>
    </w:p>
    <w:p>
      <w:pPr>
        <w:pStyle w:val="null3"/>
      </w:pPr>
      <w:r>
        <w:rPr>
          <w:rFonts w:ascii="仿宋_GB2312" w:hAnsi="仿宋_GB2312" w:cs="仿宋_GB2312" w:eastAsia="仿宋_GB2312"/>
        </w:rPr>
        <w:t>3、财务状况报告：1.提交 2023 年度经审计的财务会计报告；2.提交投标文件截止时间 6 个月内其基本账户开户银行出具的资信证明（附基本存款账户信息）；3.财政部门认可的政府采购专业担保机构出具的投标担保函。（以上三种形式的资料提供任何一种即可）；</w:t>
      </w:r>
    </w:p>
    <w:p>
      <w:pPr>
        <w:pStyle w:val="null3"/>
      </w:pPr>
      <w:r>
        <w:rPr>
          <w:rFonts w:ascii="仿宋_GB2312" w:hAnsi="仿宋_GB2312" w:cs="仿宋_GB2312" w:eastAsia="仿宋_GB2312"/>
        </w:rPr>
        <w:t>4、社保缴纳证明：提供响应文件递交截止日前一年内已缴存的至少一个月的社会保障资金缴存单据或社保机构开具的社会保险参保缴费情况证明，依法不需要缴纳的供应商应提供相关证明材料。</w:t>
      </w:r>
    </w:p>
    <w:p>
      <w:pPr>
        <w:pStyle w:val="null3"/>
      </w:pPr>
      <w:r>
        <w:rPr>
          <w:rFonts w:ascii="仿宋_GB2312" w:hAnsi="仿宋_GB2312" w:cs="仿宋_GB2312" w:eastAsia="仿宋_GB2312"/>
        </w:rPr>
        <w:t>5、税收缴纳证明：提供响应文件递交截止日前至少一个月的纳税证明或完税证明，纳税证明或完税证明上应有代收机构或税务机关的公章或业务专用章，依法免税的供应商应提供相关文件证明。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6、信用声明：参加本次政府采购活动前三年内，在经营活动中没有重大违法记录的书面声明； 供应商不得被列入中国执行信息公开网（http://zxgk.court.gov.cn）失信被执行人、信用中国（www.creditchina.gov.cn）重大税收违法失信主体，不得处于中国政府采购网（www.ccgp.gov.cn）政府采购严重违法失信行为信息记录名单中的禁止参加政府采购活动期间。</w:t>
      </w:r>
    </w:p>
    <w:p>
      <w:pPr>
        <w:pStyle w:val="null3"/>
      </w:pPr>
      <w:r>
        <w:rPr>
          <w:rFonts w:ascii="仿宋_GB2312" w:hAnsi="仿宋_GB2312" w:cs="仿宋_GB2312" w:eastAsia="仿宋_GB2312"/>
        </w:rPr>
        <w:t>7、履约承诺：供应商具备履行合同所必需的设备、专业技术及合法处置（运输）建筑垃圾的能力。</w:t>
      </w:r>
    </w:p>
    <w:p>
      <w:pPr>
        <w:pStyle w:val="null3"/>
      </w:pPr>
      <w:r>
        <w:rPr>
          <w:rFonts w:ascii="仿宋_GB2312" w:hAnsi="仿宋_GB2312" w:cs="仿宋_GB2312" w:eastAsia="仿宋_GB2312"/>
        </w:rPr>
        <w:t>8、其他要求：1.单位负责人为同一人或者存在直接控股、管理关系的供应商，不得参加同一合同下的政府采购活动2.为本项目提供过整体设计、规范编制或者项目管理、监理、检测等服务的供应商，不得再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西安市临潼旅游商贸开发区管理委员会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临潼区桃源路一号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魏部长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18792893000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中正翰元项目管理有限公司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陕西省西安市市本级陕西省西安市经济技术开发区凤城五路赛高国际街区3号楼1单元20层12001室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谢嵩、张媛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029-86685212-8020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代理服务费收费标准：1.确定成交供应商后 3 个工作日内，由成交供应商按国家计委颁发的《 招标代理服务收费管理暂行办法》（计价格[2002]1980号）和国家发展改革委员会办公厅颁发的《关于招标代理服务收费有关问题的通知》（发改办价格[2003] 857号）的有关规定标准，向采购代理机构一次付清代理服务费。 2.代理费账户： 开户名称：中正翰元项目管理有限公司 开户银行：交通银行股份有限公司西安长庆支行 账 号：6113 0109 6013 0011 28048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西安市临潼旅游商贸开发区管理委员会</w:t>
      </w:r>
      <w:r>
        <w:rPr>
          <w:rFonts w:ascii="仿宋_GB2312" w:hAnsi="仿宋_GB2312" w:cs="仿宋_GB2312" w:eastAsia="仿宋_GB2312"/>
        </w:rPr>
        <w:t>和</w:t>
      </w:r>
      <w:r>
        <w:rPr>
          <w:rFonts w:ascii="仿宋_GB2312" w:hAnsi="仿宋_GB2312" w:cs="仿宋_GB2312" w:eastAsia="仿宋_GB2312"/>
        </w:rPr>
        <w:t>中正翰元项目管理有限公司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西安市临潼旅游商贸开发区管理委员会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中正翰元项目管理有限公司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西安市临潼旅游商贸开发区管理委员会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中正翰元项目管理有限公司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中正翰元项目管理有限公司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中正翰元项目管理有限公司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中正翰元项目管理有限公司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联系人：谢嵩</w:t>
      </w:r>
    </w:p>
    <w:p>
      <w:pPr>
        <w:pStyle w:val="null3"/>
      </w:pPr>
      <w:r>
        <w:rPr>
          <w:rFonts w:ascii="仿宋_GB2312" w:hAnsi="仿宋_GB2312" w:cs="仿宋_GB2312" w:eastAsia="仿宋_GB2312"/>
        </w:rPr>
        <w:t>联系电话：029-86685212-8020</w:t>
      </w:r>
    </w:p>
    <w:p>
      <w:pPr>
        <w:pStyle w:val="null3"/>
      </w:pPr>
      <w:r>
        <w:rPr>
          <w:rFonts w:ascii="仿宋_GB2312" w:hAnsi="仿宋_GB2312" w:cs="仿宋_GB2312" w:eastAsia="仿宋_GB2312"/>
        </w:rPr>
        <w:t>地址：西安市经济技术开发区凤城五路赛高国际街区3号楼1单元20层12001室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LT9-（55）-37 号宗地位于陕西省西安市临潼区骊兴路以西，骊丰一路以北。该项目建设用地总面积 177701.56 平方米（约合267 亩）。 经前期文物勘探，发现古代墓葬 89 座、古代窑址 1 处、古代灰坑 20 处、古代路 1 条，现拟对以上遗迹开展考古发掘工作。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1,750,000.00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color w:val="000000"/>
              </w:rPr>
              <w:t>一、项目概况</w:t>
            </w:r>
          </w:p>
          <w:p>
            <w:pPr>
              <w:pStyle w:val="null3"/>
            </w:pPr>
            <w:r>
              <w:rPr>
                <w:rFonts w:ascii="仿宋_GB2312" w:hAnsi="仿宋_GB2312" w:cs="仿宋_GB2312" w:eastAsia="仿宋_GB2312"/>
                <w:color w:val="000000"/>
              </w:rPr>
              <w:t xml:space="preserve">LT9-（55）-37 号宗地位于陕西省西安市临潼区骊兴路以西， </w:t>
            </w:r>
            <w:r>
              <w:rPr>
                <w:rFonts w:ascii="仿宋_GB2312" w:hAnsi="仿宋_GB2312" w:cs="仿宋_GB2312" w:eastAsia="仿宋_GB2312"/>
                <w:color w:val="000000"/>
              </w:rPr>
              <w:t xml:space="preserve">骊丰一路以北。该项目建设用地总面积 177701.56 平方米（约合 </w:t>
            </w:r>
            <w:r>
              <w:rPr>
                <w:rFonts w:ascii="仿宋_GB2312" w:hAnsi="仿宋_GB2312" w:cs="仿宋_GB2312" w:eastAsia="仿宋_GB2312"/>
                <w:color w:val="000000"/>
              </w:rPr>
              <w:t>267 亩）。</w:t>
            </w:r>
          </w:p>
          <w:p>
            <w:pPr>
              <w:pStyle w:val="null3"/>
            </w:pPr>
            <w:r>
              <w:rPr>
                <w:rFonts w:ascii="仿宋_GB2312" w:hAnsi="仿宋_GB2312" w:cs="仿宋_GB2312" w:eastAsia="仿宋_GB2312"/>
                <w:color w:val="000000"/>
              </w:rPr>
              <w:t>经前期文物勘探，发现古代墓葬 89 座、古代窑址 1 处、古代</w:t>
            </w:r>
            <w:r>
              <w:rPr>
                <w:rFonts w:ascii="仿宋_GB2312" w:hAnsi="仿宋_GB2312" w:cs="仿宋_GB2312" w:eastAsia="仿宋_GB2312"/>
                <w:color w:val="000000"/>
              </w:rPr>
              <w:t>灰坑 20 处、古代路 1 条，现拟对以上遗迹开展考古发掘工作。</w:t>
            </w:r>
          </w:p>
          <w:p>
            <w:pPr>
              <w:pStyle w:val="null3"/>
            </w:pPr>
            <w:r>
              <w:rPr>
                <w:rFonts w:ascii="仿宋_GB2312" w:hAnsi="仿宋_GB2312" w:cs="仿宋_GB2312" w:eastAsia="仿宋_GB2312"/>
                <w:b/>
                <w:color w:val="000000"/>
              </w:rPr>
              <w:t>二、依据</w:t>
            </w:r>
          </w:p>
          <w:p>
            <w:pPr>
              <w:pStyle w:val="null3"/>
            </w:pPr>
            <w:r>
              <w:rPr>
                <w:rFonts w:ascii="仿宋_GB2312" w:hAnsi="仿宋_GB2312" w:cs="仿宋_GB2312" w:eastAsia="仿宋_GB2312"/>
                <w:color w:val="000000"/>
              </w:rPr>
              <w:t>根据《西安市人民政府办公厅关于印发西安市加强考古勘探改</w:t>
            </w:r>
            <w:r>
              <w:rPr>
                <w:rFonts w:ascii="仿宋_GB2312" w:hAnsi="仿宋_GB2312" w:cs="仿宋_GB2312" w:eastAsia="仿宋_GB2312"/>
                <w:color w:val="000000"/>
              </w:rPr>
              <w:t>革办法的通知》(市政办函【2019】53 号)文件，在土地供应前实</w:t>
            </w:r>
            <w:r>
              <w:rPr>
                <w:rFonts w:ascii="仿宋_GB2312" w:hAnsi="仿宋_GB2312" w:cs="仿宋_GB2312" w:eastAsia="仿宋_GB2312"/>
                <w:color w:val="000000"/>
              </w:rPr>
              <w:t>施考古工作。</w:t>
            </w:r>
          </w:p>
          <w:p>
            <w:pPr>
              <w:pStyle w:val="null3"/>
            </w:pPr>
            <w:r>
              <w:rPr>
                <w:rFonts w:ascii="仿宋_GB2312" w:hAnsi="仿宋_GB2312" w:cs="仿宋_GB2312" w:eastAsia="仿宋_GB2312"/>
                <w:b/>
                <w:color w:val="000000"/>
              </w:rPr>
              <w:t>三、要求</w:t>
            </w:r>
          </w:p>
          <w:p>
            <w:pPr>
              <w:pStyle w:val="null3"/>
            </w:pPr>
            <w:r>
              <w:rPr>
                <w:rFonts w:ascii="仿宋_GB2312" w:hAnsi="仿宋_GB2312" w:cs="仿宋_GB2312" w:eastAsia="仿宋_GB2312"/>
                <w:color w:val="000000"/>
              </w:rPr>
              <w:t>对项目的遗迹现象进行考古发掘劳务配合工作。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自合同签订之日起30日内，甲方应向乙方支付签约合同价的30%预付款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考古发掘工作结束后通过验收之日起10日内一次性付清剩余合同价款。（工程结算价格以甲方确认的实际工程量为依据据实结算，未发生项目不予结算）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1.甲方违约责任 1.1未按协议约定提供有关资料、数据和工作条件，导致乙方无法按协议约定完成工作任务，甲方承担逾期责任。 2. 乙方违约责任 1.1乙方未能按时完工的，每延期一日应按结算总价款的 3%/天向甲方支付违约金(甲方有权从未支付款项中扣除):无故延期 15 日以上视为根本性违约，甲方有权解除本合同，乙方除应全额退还甲方已支付的工程款外，还应向甲方支付违约金。 1.2工程出现质量问题视为乙方严重违约，视情节轻重乙方应按工程款的10%-30%向甲方支付违约金(甲方有权从未支付款项中扣除)，此外应赔因此给甲方造成的损失。1.3乙方擅自解除或终止本合同的，乙方应按预算或者合同总价款的20%向甲方支付违约金。 3.争议解决 与本合同有关的或因本合同所产生的一切争执，由甲乙双方友好协商解决，不能解决时向甲方所在地人民法院诉讼解决。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最高单价限价：最高综合控制单价为850 元/㎡。人工土方配合费计算公式=每平方米单价*深度系数*发掘面积(深度系数、发掘面积依据发掘技术单位的技术决算)。本项目采取单价报价制，投标人报价超出最高单价限价，作为不实质性响应招标文件，按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至少包括审计报告、资产负债表和利润表，成立时间至提交响应文件截止时间不足一年的可提供成立后任意时段的资产负债表）或提交响应文件截止时间前六个月内基本存款账户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法定代表人授权他人参加投标的，提供法定代表人授权书（附法定代表人、被授权人身份证复印件），法定代表人直接参加投标的，提供法定代表人身份证明及身份证复印件。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1.提交 2023 年度经审计的财务会计报告；2.提交投标文件截止时间 6 个月内其基本账户开户银行出具的资信证明（附基本存款账户信息）；3.财政部门认可的政府采购专业担保机构出具的投标担保函。（以上三种形式的资料提供任何一种即可）；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提供响应文件递交截止日前一年内已缴存的至少一个月的社会保障资金缴存单据或社保机构开具的社会保险参保缴费情况证明，依法不需要缴纳的供应商应提供相关证明材料。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 供应商不得被列入中国执行信息公开网（http://zxgk.court.gov.cn）失信被执行人、信用中国（www.creditchina.gov.cn）重大税收违法失信主体，不得处于中国政府采购网（www.ccgp.gov.cn）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供应商具备履行合同所必需的设备、专业技术及合法处置（运输）建筑垃圾的能力。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单位负责人为同一人或者存在直接控股、管理关系的供应商，不得参加同一合同下的政府采购活动2.为本项目提供过整体设计、规范编制或者项目管理、监理、检测等服务的供应商，不得再参加本项目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按磋商文件格式要求加盖了供应商公章和有法定代表人或其委托代理人签字或盖章。</w:t>
            </w:r>
          </w:p>
        </w:tc>
        <w:tc>
          <w:tcPr>
            <w:tcW w:type="dxa" w:w="1661"/>
          </w:tcPr>
          <w:p>
            <w:pPr>
              <w:pStyle w:val="null3"/>
            </w:pPr>
            <w:r>
              <w:rPr>
                <w:rFonts w:ascii="仿宋_GB2312" w:hAnsi="仿宋_GB2312" w:cs="仿宋_GB2312" w:eastAsia="仿宋_GB2312"/>
              </w:rPr>
              <w:t>响应文件封面 中小企业声明函 拒绝政府采购领域商业贿赂承诺书.docx 残疾人福利性单位声明函 偏离表.docx 业绩证明材料.docx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有效的报价</w:t>
            </w:r>
          </w:p>
        </w:tc>
        <w:tc>
          <w:tcPr>
            <w:tcW w:type="dxa" w:w="3322"/>
          </w:tcPr>
          <w:p>
            <w:pPr>
              <w:pStyle w:val="null3"/>
            </w:pPr>
            <w:r>
              <w:rPr>
                <w:rFonts w:ascii="仿宋_GB2312" w:hAnsi="仿宋_GB2312" w:cs="仿宋_GB2312" w:eastAsia="仿宋_GB2312"/>
              </w:rPr>
              <w:t>只能有一个报价，且供应商报价超出最高单价限价，作为不实质性响应招标文件，按无效投标处理。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应满足磋商文件中有效期的规定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应满足磋商文件中服务期限的规定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拒绝政府采购领域商业贿赂承诺书.docx 偏离表.docx 标的清单 报价表 响应函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考古发掘土方施工方案</w:t>
            </w:r>
          </w:p>
        </w:tc>
        <w:tc>
          <w:tcPr>
            <w:tcW w:type="dxa" w:w="2492"/>
          </w:tcPr>
          <w:p>
            <w:pPr>
              <w:pStyle w:val="null3"/>
            </w:pPr>
            <w:r>
              <w:rPr>
                <w:rFonts w:ascii="仿宋_GB2312" w:hAnsi="仿宋_GB2312" w:cs="仿宋_GB2312" w:eastAsia="仿宋_GB2312"/>
              </w:rPr>
              <w:t>投标人针对本项目编制合理的考古土方发掘方案。以上评审内容满分 10 分，按如下标准赋分：①符合国家规范标准，内容完整、合理，且针对性、可行性强得10 分；②方案符合国家规范标准，具有一定的可行性得8 分；③方案符合国家规范标准，内容简单，可行性一般得5 分；④方案内容不齐全，没有可行性得 1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有针对本项目文物、人身安全等保障方案。以上评审内容满分 10 分，按如下标准赋分：①措施内容详细、合理，实施性强得 10 分； ②措施内容较详细、较合理，具有一定的实施性得8 分；③措施内容简单，实施性一般得 5 分； ④措施内容不全，不合理，不具备实施性得 1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根据项目工作特点（季节天气防洪、防汛等）提供完善的应急预案措施。以上评审内容满分 10 分，按如下标准赋分：①有针对本项目文物、人身安全保障方案，完全满足项目实施需求且确保文物、人身安全保护方案明确、可行得 10 分；②有针对本项目文物、人身安全保障方案，能够基本满足项目实施需要，且确保文物、人身安全保护方案基本明确、可行得8 分；③有针对本项目文物、人身安全保障方案，可行性一般得5 分；④安全保障措施内容不全，不合理，不具备实施性得1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根据项目工作特点（季节天气防洪、防汛等）提供完善的应急预案措施。 以上评审内容满分 10 分，按如下标准赋分：①应急预案措施科学合理、全面，实施性强，有针对性得10 分；②应急预案措施较科学合理、较全面，有一定实施性得8 分；③应急预案措施基本合理、全面，实施性一般得5 分；④有应急预案，实施性较差得 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设备情况</w:t>
            </w:r>
          </w:p>
        </w:tc>
        <w:tc>
          <w:tcPr>
            <w:tcW w:type="dxa" w:w="2492"/>
          </w:tcPr>
          <w:p>
            <w:pPr>
              <w:pStyle w:val="null3"/>
            </w:pPr>
            <w:r>
              <w:rPr>
                <w:rFonts w:ascii="仿宋_GB2312" w:hAnsi="仿宋_GB2312" w:cs="仿宋_GB2312" w:eastAsia="仿宋_GB2312"/>
              </w:rPr>
              <w:t>针对本项目拟投入主要设备的配置情况（如设备新旧程度）等内容。以上评审内容满分 10 分，按如下标准赋分：①设备配置齐全，数量充足且均为全新设备，满足工作需求得10 分；②设备配置较齐全，80％为全新设备，基本满足工作需求得8 分；③有一定的设备配置，设备陈旧得 5 分；④有设备配置，但不能满足项目需求得 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本项目拟派人员配置</w:t>
            </w:r>
          </w:p>
        </w:tc>
        <w:tc>
          <w:tcPr>
            <w:tcW w:type="dxa" w:w="2492"/>
          </w:tcPr>
          <w:p>
            <w:pPr>
              <w:pStyle w:val="null3"/>
            </w:pPr>
            <w:r>
              <w:rPr>
                <w:rFonts w:ascii="仿宋_GB2312" w:hAnsi="仿宋_GB2312" w:cs="仿宋_GB2312" w:eastAsia="仿宋_GB2312"/>
              </w:rPr>
              <w:t>具有土方劳务配合、现场组织协调、专业考古技术等人员组建的配合团队。团队人员专业配备合理、人员数配备量充足，技术人员须具备相关专业证书。 ①有针对本项目的专业服务团队，专业配置齐全，完全满足项目实施需求得 10 分； ②有针对本项目的专业服务团队，人员配备数量充足，专业人员配备能够基本满足项目实施需要，分工有一定的合理性，专业配置齐全、基本能满足项目需求得 8 分； ③专业服务团队，人员配备数量较充足、专业配置基本能够基本满足项目实施需要但分工不明确得 5 分； ④有专业服务团队配置，但不能满足项目需求得2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日至今（以合同签订时间为准）类似项目业绩，投标文件中附有其业绩证明材料，业绩以合同或中标（成交）通知书为依据，每提供一个计 2 分，满分 10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投标人针对本项目提供工作保密措施。①保密措施合理性、可行性强，奖罚机制明确，且有定期保密培训得5分；②保密措施内容基本合理、可行，奖罚机制明确，无保密培训得4 分；③有保密措施，内容简单，可行性一般，无奖罚机制，无保密培训得3分；④措施内容不全，不合理，不具备实施性得 1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投标人针对本项目提供的服务承诺，包括项目质量承诺、项目实施进度承诺、后期服务承诺、人员到位情况承诺等。①内容全面，针对性强、可行性强、符合实际情况的得5 分；②内容比较全面，有一定针对性、可行性的得 4 分；③内容基本齐全，针对性、可行性一般得 3 分；④内容不齐全，可行性较差得 1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有效供应商最低的最终磋商报价为磋商报价基准价； 供应商的价格得分按下列公式计算： 磋商报价得分=（磋商报价基准价/最终磋商报价）×20。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