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版本号：HYDZB202500820250402001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西安市临潼主城区危烂破旧基础设施改造项目勘察设计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HYDZB2025008</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西安市临潼主城区危烂破旧基础设施改造项目勘察设计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西安市临潼主城区危烂破旧基础设施改造项目勘察设计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临潼主城区内中心路段危、烂、破、旧的基础设施维修改造，包括南北大街，东大街和人民北路改造；既有住宅小区雨污分流，秦陵北路隐患修复，骊山新家园排水等工程涉及的勘察设计及后续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采购包1（西安市临潼主城区危烂破旧基础设施改造项目勘察设计）：属于专门面向中小企业采购。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企业资质：供应商须具备工程设计综合资质甲级或市政工程设计行业乙级及以上资质或市政工程设计行业资质（燃气工程、轨道交通工程除外）或市政行业设计（道路工程）专业乙级及以上资质，并在人员、设备、资金等方面具备相应的能力</w:t>
      </w:r>
    </w:p>
    <w:p>
      <w:pPr>
        <w:pStyle w:val="null3"/>
      </w:pPr>
      <w:r>
        <w:rPr>
          <w:rFonts w:ascii="仿宋_GB2312" w:hAnsi="仿宋_GB2312" w:cs="仿宋_GB2312" w:eastAsia="仿宋_GB2312"/>
        </w:rPr>
        <w:t>4、拟派项目负责人资格：拟派项目负责人须具备二级及以上注册建筑师资格或市政相关专业高级职称</w:t>
      </w:r>
    </w:p>
    <w:p>
      <w:pPr>
        <w:pStyle w:val="null3"/>
      </w:pPr>
      <w:r>
        <w:rPr>
          <w:rFonts w:ascii="仿宋_GB2312" w:hAnsi="仿宋_GB2312" w:cs="仿宋_GB2312" w:eastAsia="仿宋_GB2312"/>
        </w:rPr>
        <w:t>5、企业信用信息：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采购包1：400,900.75元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临潼主城区内中心路段危、烂、破、旧的基础设施维修改造，包括南北大街，东大街和人民北路改造；既有住宅小区雨污分流，秦陵北路隐患修复，骊山新家园排水等工程涉及的勘察设计及后续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400,900.75</w:t>
      </w:r>
    </w:p>
    <w:p>
      <w:pPr>
        <w:pStyle w:val="null3"/>
      </w:pPr>
      <w:r>
        <w:rPr>
          <w:rFonts w:ascii="仿宋_GB2312" w:hAnsi="仿宋_GB2312" w:cs="仿宋_GB2312" w:eastAsia="仿宋_GB2312"/>
        </w:rPr>
        <w:t>采购包最高限价（元）: 400,900.75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400,900.75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标的名称：勘察设计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left"/>
            </w:pPr>
            <w:r>
              <w:rPr>
                <w:rFonts w:ascii="仿宋_GB2312" w:hAnsi="仿宋_GB2312" w:cs="仿宋_GB2312" w:eastAsia="仿宋_GB2312"/>
                <w:sz w:val="24"/>
                <w:color w:val="000000"/>
              </w:rPr>
              <w:t xml:space="preserve">  本项目主要内容为临潼主城区内中心路段危、烂、破、旧的基础设施维修改造</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包括南北大街，东大街和人民北路改造；既有住宅小区雨污分流，秦陵北路隐患修复，骊山新家园排水等工程涉及的勘察设计及后续相关服务。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2"/>
              <w:jc w:val="both"/>
            </w:pPr>
            <w:r>
              <w:rPr>
                <w:rFonts w:ascii="仿宋_GB2312" w:hAnsi="仿宋_GB2312" w:cs="仿宋_GB2312" w:eastAsia="仿宋_GB2312"/>
                <w:sz w:val="24"/>
                <w:b/>
                <w:color w:val="000000"/>
              </w:rPr>
              <w:t>1.项目名称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西安市临潼主城区危烂破旧基础设施改造项目勘察设计</w:t>
            </w:r>
          </w:p>
          <w:p>
            <w:pPr>
              <w:pStyle w:val="null3"/>
              <w:ind w:firstLine="482"/>
              <w:jc w:val="left"/>
            </w:pPr>
            <w:r>
              <w:rPr>
                <w:rFonts w:ascii="仿宋_GB2312" w:hAnsi="仿宋_GB2312" w:cs="仿宋_GB2312" w:eastAsia="仿宋_GB2312"/>
                <w:sz w:val="24"/>
                <w:b/>
                <w:color w:val="000000"/>
              </w:rPr>
              <w:t>2.采购内容</w:t>
            </w:r>
            <w:r>
              <w:rPr>
                <w:rFonts w:ascii="仿宋_GB2312" w:hAnsi="仿宋_GB2312" w:cs="仿宋_GB2312" w:eastAsia="仿宋_GB2312"/>
                <w:sz w:val="24"/>
                <w:color w:val="000000"/>
              </w:rPr>
              <w:t>：本项目主要采购内容包括万年路、体育路、南北大街、人民南北路、桃源西路、开元路、桃源步行街</w:t>
            </w:r>
            <w:r>
              <w:rPr>
                <w:rFonts w:ascii="仿宋_GB2312" w:hAnsi="仿宋_GB2312" w:cs="仿宋_GB2312" w:eastAsia="仿宋_GB2312"/>
                <w:sz w:val="24"/>
                <w:color w:val="000000"/>
              </w:rPr>
              <w:t>9条市政道路沿线的23个既有住宅小区雨污水管道拆除迁移；骊山新家园道路及排水修复；秦陵北路道路隐患修复；南北大街、东大街及人民路道路改造等工程涉及的勘察设计服务。</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服务周期</w:t>
            </w:r>
            <w:r>
              <w:rPr>
                <w:rFonts w:ascii="仿宋_GB2312" w:hAnsi="仿宋_GB2312" w:cs="仿宋_GB2312" w:eastAsia="仿宋_GB2312"/>
                <w:sz w:val="24"/>
                <w:color w:val="000000"/>
              </w:rPr>
              <w:t>：</w:t>
            </w:r>
            <w:r>
              <w:rPr>
                <w:rFonts w:ascii="仿宋_GB2312" w:hAnsi="仿宋_GB2312" w:cs="仿宋_GB2312" w:eastAsia="仿宋_GB2312"/>
                <w:sz w:val="24"/>
                <w:color w:val="000000"/>
              </w:rPr>
              <w:t>45个日历天，其中项目勘察周期：15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日历天。</w:t>
            </w:r>
          </w:p>
          <w:p>
            <w:pPr>
              <w:pStyle w:val="null3"/>
              <w:ind w:firstLine="482"/>
              <w:jc w:val="left"/>
            </w:pPr>
            <w:r>
              <w:rPr>
                <w:rFonts w:ascii="仿宋_GB2312" w:hAnsi="仿宋_GB2312" w:cs="仿宋_GB2312" w:eastAsia="仿宋_GB2312"/>
                <w:sz w:val="24"/>
                <w:color w:val="000000"/>
              </w:rPr>
              <w:t>在服务期限内完成本项目全部勘察设计工作并保证施工图设计文件通过相关部门审查。</w:t>
            </w:r>
          </w:p>
          <w:p>
            <w:pPr>
              <w:pStyle w:val="null3"/>
              <w:ind w:firstLine="482"/>
              <w:jc w:val="left"/>
            </w:pPr>
            <w:r>
              <w:rPr>
                <w:rFonts w:ascii="仿宋_GB2312" w:hAnsi="仿宋_GB2312" w:cs="仿宋_GB2312" w:eastAsia="仿宋_GB2312"/>
                <w:sz w:val="24"/>
                <w:b/>
                <w:color w:val="000000"/>
              </w:rPr>
              <w:t>4、服务质量标准</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符合现行国家、地方及行业相关设计规范要求。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商务及服务要求</w:t>
            </w:r>
          </w:p>
        </w:tc>
        <w:tc>
          <w:tcPr>
            <w:tcW w:type="dxa" w:w="2076"/>
          </w:tcPr>
          <w:p>
            <w:pPr>
              <w:pStyle w:val="null3"/>
              <w:ind w:firstLine="482"/>
              <w:jc w:val="left"/>
            </w:pPr>
            <w:r>
              <w:rPr>
                <w:rFonts w:ascii="仿宋_GB2312" w:hAnsi="仿宋_GB2312" w:cs="仿宋_GB2312" w:eastAsia="仿宋_GB2312"/>
                <w:sz w:val="24"/>
                <w:b/>
                <w:color w:val="000000"/>
              </w:rPr>
              <w:t>1、售后服务要求：</w:t>
            </w:r>
            <w:r>
              <w:rPr>
                <w:rFonts w:ascii="仿宋_GB2312" w:hAnsi="仿宋_GB2312" w:cs="仿宋_GB2312" w:eastAsia="仿宋_GB2312"/>
                <w:sz w:val="24"/>
                <w:color w:val="000000"/>
              </w:rPr>
              <w:t>甲方在验收备案设计图纸审核过程中若发现错误或异议处，乙方须配合甲方无偿进行方案修改，直至验收合格。</w:t>
            </w:r>
          </w:p>
          <w:p>
            <w:pPr>
              <w:pStyle w:val="null3"/>
              <w:ind w:firstLine="482"/>
              <w:jc w:val="left"/>
            </w:pPr>
            <w:r>
              <w:rPr>
                <w:rFonts w:ascii="仿宋_GB2312" w:hAnsi="仿宋_GB2312" w:cs="仿宋_GB2312" w:eastAsia="仿宋_GB2312"/>
                <w:sz w:val="24"/>
                <w:b/>
                <w:color w:val="000000"/>
              </w:rPr>
              <w:t>2、采购标的需实现的采购目标：</w:t>
            </w:r>
            <w:r>
              <w:rPr>
                <w:rFonts w:ascii="仿宋_GB2312" w:hAnsi="仿宋_GB2312" w:cs="仿宋_GB2312" w:eastAsia="仿宋_GB2312"/>
                <w:sz w:val="24"/>
                <w:color w:val="000000"/>
              </w:rPr>
              <w:t>满足项目工程设计需要。</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成果文件要求</w:t>
            </w:r>
          </w:p>
          <w:p>
            <w:pPr>
              <w:pStyle w:val="null3"/>
              <w:ind w:firstLine="480"/>
              <w:jc w:val="left"/>
            </w:pPr>
            <w:r>
              <w:rPr>
                <w:rFonts w:ascii="仿宋_GB2312" w:hAnsi="仿宋_GB2312" w:cs="仿宋_GB2312" w:eastAsia="仿宋_GB2312"/>
                <w:sz w:val="24"/>
                <w:color w:val="000000"/>
              </w:rPr>
              <w:t>成果文件的组成：</w:t>
            </w:r>
            <w:r>
              <w:rPr>
                <w:rFonts w:ascii="仿宋_GB2312" w:hAnsi="仿宋_GB2312" w:cs="仿宋_GB2312" w:eastAsia="仿宋_GB2312"/>
                <w:sz w:val="24"/>
                <w:color w:val="000000"/>
              </w:rPr>
              <w:t>勘察成果文件</w:t>
            </w:r>
            <w:r>
              <w:rPr>
                <w:rFonts w:ascii="仿宋_GB2312" w:hAnsi="仿宋_GB2312" w:cs="仿宋_GB2312" w:eastAsia="仿宋_GB2312"/>
                <w:sz w:val="24"/>
                <w:color w:val="000000"/>
              </w:rPr>
              <w:t>及电子版文件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施工图设计文件、预算文件及电子版文件</w:t>
            </w:r>
          </w:p>
          <w:p>
            <w:pPr>
              <w:pStyle w:val="null3"/>
              <w:ind w:firstLine="480"/>
              <w:jc w:val="left"/>
            </w:pPr>
            <w:r>
              <w:rPr>
                <w:rFonts w:ascii="仿宋_GB2312" w:hAnsi="仿宋_GB2312" w:cs="仿宋_GB2312" w:eastAsia="仿宋_GB2312"/>
                <w:sz w:val="24"/>
                <w:color w:val="000000"/>
              </w:rPr>
              <w:t>成果文件的格式要求：按招标人要求提供。</w:t>
            </w:r>
          </w:p>
          <w:p>
            <w:pPr>
              <w:pStyle w:val="null3"/>
              <w:ind w:firstLine="480"/>
              <w:jc w:val="left"/>
            </w:pPr>
            <w:r>
              <w:rPr>
                <w:rFonts w:ascii="仿宋_GB2312" w:hAnsi="仿宋_GB2312" w:cs="仿宋_GB2312" w:eastAsia="仿宋_GB2312"/>
                <w:sz w:val="24"/>
                <w:color w:val="000000"/>
              </w:rPr>
              <w:t>成果文件的份数要求：按招标人要求提供。</w:t>
            </w:r>
          </w:p>
          <w:p>
            <w:pPr>
              <w:pStyle w:val="null3"/>
              <w:ind w:firstLine="480"/>
              <w:jc w:val="left"/>
            </w:pPr>
            <w:r>
              <w:rPr>
                <w:rFonts w:ascii="仿宋_GB2312" w:hAnsi="仿宋_GB2312" w:cs="仿宋_GB2312" w:eastAsia="仿宋_GB2312"/>
                <w:sz w:val="24"/>
                <w:color w:val="000000"/>
              </w:rPr>
              <w:t>成果文件的载体要求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按招标人要求提供</w:t>
            </w:r>
            <w:r>
              <w:rPr>
                <w:rFonts w:ascii="仿宋_GB2312" w:hAnsi="仿宋_GB2312" w:cs="仿宋_GB2312" w:eastAsia="仿宋_GB2312"/>
                <w:sz w:val="24"/>
                <w:color w:val="000000"/>
              </w:rPr>
              <w:t>相关的电子版及纸质版文件。</w:t>
            </w:r>
          </w:p>
          <w:p>
            <w:pPr>
              <w:pStyle w:val="null3"/>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拟派服务团队的人员数量、专业配置、技术经验应完全满足项目的需要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45个日历天，其中项目勘察周期：15个日历天。在服务期限内完成本项目全部勘察设计工作并保证施工图设计文件通过相关部门审查。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在合同签订且提交勘察成果文件后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在本项目设计通过评审后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本项目整体通过甲方验收后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2023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市政工程设计行业乙级及以上资质或市政工程设计行业资质（燃气工程、轨道交通工程除外）或市政行业设计（道路工程）专业乙级及以上资质，并在人员、设备、资金等方面具备相应的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拟派项目负责人须具备二级及以上注册建筑师资格或市政相关专业高级职称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企业信用信息</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勘察设计大纲</w:t>
            </w:r>
          </w:p>
        </w:tc>
        <w:tc>
          <w:tcPr>
            <w:tcW w:type="dxa" w:w="2492"/>
          </w:tcPr>
          <w:p>
            <w:pPr>
              <w:pStyle w:val="null3"/>
            </w:pPr>
            <w:r>
              <w:rPr>
                <w:rFonts w:ascii="仿宋_GB2312" w:hAnsi="仿宋_GB2312" w:cs="仿宋_GB2312" w:eastAsia="仿宋_GB2312"/>
              </w:rPr>
              <w:t>勘察设计思路符合项目实际，勘察设计大纲任务明确。由评委会在0-10分之间合理赋分。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设计深度及方案保障措施</w:t>
            </w:r>
          </w:p>
        </w:tc>
        <w:tc>
          <w:tcPr>
            <w:tcW w:type="dxa" w:w="2492"/>
          </w:tcPr>
          <w:p>
            <w:pPr>
              <w:pStyle w:val="null3"/>
            </w:pPr>
            <w:r>
              <w:rPr>
                <w:rFonts w:ascii="仿宋_GB2312" w:hAnsi="仿宋_GB2312" w:cs="仿宋_GB2312" w:eastAsia="仿宋_GB2312"/>
              </w:rPr>
              <w:t>整体设计思路、典型设计方案及实现设计深度的保障措施。由评委会在0-5分之间合理赋分。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成果保障措施</w:t>
            </w:r>
          </w:p>
        </w:tc>
        <w:tc>
          <w:tcPr>
            <w:tcW w:type="dxa" w:w="2492"/>
          </w:tcPr>
          <w:p>
            <w:pPr>
              <w:pStyle w:val="null3"/>
            </w:pPr>
            <w:r>
              <w:rPr>
                <w:rFonts w:ascii="仿宋_GB2312" w:hAnsi="仿宋_GB2312" w:cs="仿宋_GB2312" w:eastAsia="仿宋_GB2312"/>
              </w:rPr>
              <w:t>保证勘察设计成果具有良好的经济性、安全性、可靠性的措施等。由评委会在0-10分之间合理赋分。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方案设计、实施编制进度时间合理，进度安排清晰明确，合理科学，且有明确的进度保障措施。由评委会在0-10分之间合理赋分。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质量和安全保证措施</w:t>
            </w:r>
          </w:p>
        </w:tc>
        <w:tc>
          <w:tcPr>
            <w:tcW w:type="dxa" w:w="2492"/>
          </w:tcPr>
          <w:p>
            <w:pPr>
              <w:pStyle w:val="null3"/>
            </w:pPr>
            <w:r>
              <w:rPr>
                <w:rFonts w:ascii="仿宋_GB2312" w:hAnsi="仿宋_GB2312" w:cs="仿宋_GB2312" w:eastAsia="仿宋_GB2312"/>
              </w:rPr>
              <w:t>质量标准符合要求，明确质量目标，有可靠的质量保证体系及安全管理体系，合理的质量保证措施和安全保证措施。由评委会在0-10分之间合理赋分。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1、拟投入的项目团队人员数量、分工情况，对设计工作的有效支撑、岗位职责明确清晰得由评委会在0-10分之间合理赋分。 2、项目组成人员具有中级及以上职称的，每提供1名得2分，满分10分；以供应商响应文件中所附的人员证书复印件为准，不提供则不得分。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项目投入主要人员汇总表.docx</w:t>
            </w:r>
          </w:p>
        </w:tc>
      </w:tr>
      <w:tr>
        <w:tc>
          <w:tcPr>
            <w:tcW w:type="dxa" w:w="831"/>
            <w:vMerge/>
          </w:tcPr>
          <w:p/>
        </w:tc>
        <w:tc>
          <w:tcPr>
            <w:tcW w:type="dxa" w:w="1661"/>
          </w:tcPr>
          <w:p>
            <w:pPr>
              <w:pStyle w:val="null3"/>
            </w:pPr>
            <w:r>
              <w:rPr>
                <w:rFonts w:ascii="仿宋_GB2312" w:hAnsi="仿宋_GB2312" w:cs="仿宋_GB2312" w:eastAsia="仿宋_GB2312"/>
              </w:rPr>
              <w:t>新技术新工艺</w:t>
            </w:r>
          </w:p>
        </w:tc>
        <w:tc>
          <w:tcPr>
            <w:tcW w:type="dxa" w:w="2492"/>
          </w:tcPr>
          <w:p>
            <w:pPr>
              <w:pStyle w:val="null3"/>
            </w:pPr>
            <w:r>
              <w:rPr>
                <w:rFonts w:ascii="仿宋_GB2312" w:hAnsi="仿宋_GB2312" w:cs="仿宋_GB2312" w:eastAsia="仿宋_GB2312"/>
              </w:rPr>
              <w:t>技新术、新工艺、新材料的应用是否可实现节能环保、缩短工期，降低成本等指标。由评委会在0-5分之间合理赋分。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2020年 01 月 01 日至今（以合同签订时间为准）的勘察设计业绩，每份计5分，满分10分（提供合同或中标通知书复印件或扫描件，并加盖单位公章）。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供应商针对本项目有明确的服务承诺，按其响应程度由评委会在0-5分之间合理赋分。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供应商针对本项目提出合理化建议，从可行性、合理性等方面综合评比，按其响应程度由评委会在0-5分之间合理赋分。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注：1、计算分数时四舍五入取小数点后两位； 2、本项目专门面向中小企业，不再执行价格评审优惠扶持政策。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详见附件：勘察设计合同.docx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