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版本号：HDFX-2025-Z12220250520001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陕西省西安市临潼区玉米单产提升项目监理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HDFX-2025-Z122</w:t>
      </w:r>
      <w:r>
        <w:br/>
      </w:r>
      <w:r>
        <w:br/>
      </w:r>
      <w:r>
        <w:br/>
      </w:r>
    </w:p>
    <w:p>
      <w:pPr>
        <w:pStyle w:val="null3"/>
        <w:jc w:val="center"/>
        <w:outlineLvl w:val="2"/>
      </w:pPr>
      <w:r>
        <w:rPr>
          <w:rFonts w:ascii="仿宋_GB2312" w:hAnsi="仿宋_GB2312" w:cs="仿宋_GB2312" w:eastAsia="仿宋_GB2312"/>
          <w:sz w:val="28"/>
          <w:b/>
        </w:rPr>
        <w:t>西安市临潼区农业农村局</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西安市临潼区农业农村局</w:t>
      </w:r>
      <w:r>
        <w:rPr>
          <w:rFonts w:ascii="仿宋_GB2312" w:hAnsi="仿宋_GB2312" w:cs="仿宋_GB2312" w:eastAsia="仿宋_GB2312"/>
        </w:rPr>
        <w:t>委托，拟对</w:t>
      </w:r>
      <w:r>
        <w:rPr>
          <w:rFonts w:ascii="仿宋_GB2312" w:hAnsi="仿宋_GB2312" w:cs="仿宋_GB2312" w:eastAsia="仿宋_GB2312"/>
        </w:rPr>
        <w:t>陕西省西安市临潼区玉米单产提升项目监理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陕西省西安市临潼区玉米单产提升项目监理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西安市临潼区玉米单产提升项目监理。在临潼区实施玉米单产提升工程10万亩，通过项目建设，有效改善项目区农田基础设施条件，提高粮食综合生产能力。本次项目主要内容为项目施工和保修阶段内全部监理工作。具体包含本项目施工过程中的质量、安全、进度、投资控制，资料管理、信息管理及协调施工现场各方关系。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采购包1（陕西省西安市临潼区玉米单产提升项目监理）：属于专门面向中小企业采购。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的审计报告(成立时间至提交投标文件截止时间不足一年的可提供成立后任意时段的资产负债表)，或其基本存款账户开户银行出具的近六个月的资信证明及基本存款账户开户许可证（基本账户信息表）；</w:t>
      </w:r>
    </w:p>
    <w:p>
      <w:pPr>
        <w:pStyle w:val="null3"/>
      </w:pPr>
      <w:r>
        <w:rPr>
          <w:rFonts w:ascii="仿宋_GB2312" w:hAnsi="仿宋_GB2312" w:cs="仿宋_GB2312" w:eastAsia="仿宋_GB2312"/>
        </w:rPr>
        <w:t>3、税收缴纳证明：提供投标截止时间前6个月内至少一个月的纳税证明或完税证明（任意税种，个人所得税除外），依法免税的单位应提供相关证明材料；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4、社会保障资金缴纳证明：提供投标截止时间前6个月内至少一个月的社会保障资金缴存单据或社保机构开具的社会保险参保缴费情况证明，依法不需要缴纳社会保障资金的单位应提供相关证明材料；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5、供应商履约能力：供应商具有履行合同所必需的设备和专业技术能力的承诺；</w:t>
      </w:r>
    </w:p>
    <w:p>
      <w:pPr>
        <w:pStyle w:val="null3"/>
      </w:pPr>
      <w:r>
        <w:rPr>
          <w:rFonts w:ascii="仿宋_GB2312" w:hAnsi="仿宋_GB2312" w:cs="仿宋_GB2312" w:eastAsia="仿宋_GB2312"/>
        </w:rPr>
        <w:t>6、近三年无重大违法记录声明：出具参加本次政府采购活动前三年内，在经营活动中没有重大违法记录的书面声明。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须提供法定代表人（主要负责人）身份证明书；法定代表人授权他人参加磋商的，须提供法定代表人（主要负责人）委托授权书。磋商文件中凡是需要法定代表人盖章之处，非法人单位的负责人均参照执行。法人的分支机构参与磋商时，除提供《法定代表人（主要负责人）委托授权书》外，还须同时提供法人给分支机构出具的授权书 ；</w:t>
      </w:r>
    </w:p>
    <w:p>
      <w:pPr>
        <w:pStyle w:val="null3"/>
      </w:pPr>
      <w:r>
        <w:rPr>
          <w:rFonts w:ascii="仿宋_GB2312" w:hAnsi="仿宋_GB2312" w:cs="仿宋_GB2312" w:eastAsia="仿宋_GB2312"/>
        </w:rPr>
        <w:t>8、企业资质：供应商须具备水利工程施工监理丙级（含丙级）以上资质，并在人员、设备、资金等方面具备相应的监理能力；</w:t>
      </w:r>
    </w:p>
    <w:p>
      <w:pPr>
        <w:pStyle w:val="null3"/>
      </w:pPr>
      <w:r>
        <w:rPr>
          <w:rFonts w:ascii="仿宋_GB2312" w:hAnsi="仿宋_GB2312" w:cs="仿宋_GB2312" w:eastAsia="仿宋_GB2312"/>
        </w:rPr>
        <w:t>9、总监理工程师：拟派项目总监理工程师须具备水利工程专业监理工程师注册证书，在本单位注册，且未担任其它在建工程项目的总监理工程师（提供无在监声明）；</w:t>
      </w:r>
    </w:p>
    <w:p>
      <w:pPr>
        <w:pStyle w:val="null3"/>
      </w:pPr>
      <w:r>
        <w:rPr>
          <w:rFonts w:ascii="仿宋_GB2312" w:hAnsi="仿宋_GB2312" w:cs="仿宋_GB2312" w:eastAsia="仿宋_GB2312"/>
        </w:rPr>
        <w:t>10、信用记录：供应商未被列入“信用中国”网站(www.creditchina.gov.cn)网站记录的“失信被执行人、重大税收违法案件当事人、企业经营异常名录”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11、控股管理关系：单位负责人为同一人或者存在直接控股、管理关系的供应商，不得参加同一合同下的政府采购活动；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12、其他声明：为本项目提供过整体设计、规范编制或者项目管理、监理、检测等服务的供应商，不得再参加本项目采购活动；</w:t>
      </w:r>
    </w:p>
    <w:p>
      <w:pPr>
        <w:pStyle w:val="null3"/>
      </w:pPr>
      <w:r>
        <w:rPr>
          <w:rFonts w:ascii="仿宋_GB2312" w:hAnsi="仿宋_GB2312" w:cs="仿宋_GB2312" w:eastAsia="仿宋_GB2312"/>
        </w:rPr>
        <w:t>13、非联合体磋商：本项目不接受联合体投标，不允许分包。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029-83812063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西安市未央区朱宏路福清商会大厦11楼1101室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办公厅关于招标服务收费有关问题的通知》（发改办价格[2003]857号）文件的规定计取，不足5000按照5000元收取，采用现金、转账或汇款方式向陕西华达峰信项目管理有限公司交纳招标服务费。 招标代理服务费缴纳账户信息： 户名：陕西华达峰信项目管理有限公司 开户行：中国工商银行股份有限公司西安未央支行 账号：3700034009100001556 行号：102791000525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西安市临潼区农业农村局</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西安市临潼区农业农村局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联系人：杨主任</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地址：西安市未央区朱宏路福清商会大厦11楼1101室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西安市临潼区玉米单产提升项目监理。在临潼区实施玉米单产提升工程10万亩，通过项目建设，有效改善项目区农田基础设施条件，提高粮食综合生产能力。本次项目主要内容为项目施工和保修阶段内全部监理工作。具体包含本项目施工过程中的质量、安全、进度、投资控制，资料管理、信息管理及协调施工现场各方关系。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陕西省西安市临潼区玉米单产提升项目监理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标的名称：陕西省西安市临潼区玉米单产提升项目监理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项目概况</w:t>
            </w:r>
          </w:p>
          <w:p>
            <w:pPr>
              <w:pStyle w:val="null3"/>
            </w:pPr>
            <w:r>
              <w:rPr>
                <w:rFonts w:ascii="仿宋_GB2312" w:hAnsi="仿宋_GB2312" w:cs="仿宋_GB2312" w:eastAsia="仿宋_GB2312"/>
              </w:rPr>
              <w:t>陕西省西安市临潼区玉米单产提升项目监理。在临潼区实施玉米单产提升工程10万亩，通过项目建设，有效改善项目区农田基础设施条件，提高粮食综合生产能力。本次项目主要内容为项目施工和保修阶段内全部监理工作。具体包含本项目施工过程中的质量、安全、进度、投资控制，资料管理、信息管理及协调施工现场各方关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服务要求</w:t>
            </w:r>
          </w:p>
          <w:p>
            <w:pPr>
              <w:pStyle w:val="null3"/>
            </w:pPr>
            <w:r>
              <w:rPr>
                <w:rFonts w:ascii="仿宋_GB2312" w:hAnsi="仿宋_GB2312" w:cs="仿宋_GB2312" w:eastAsia="仿宋_GB2312"/>
              </w:rPr>
              <w:t>1.监理服务期：自项目开工令发出之日起至项目施工验收合格之日止。</w:t>
            </w:r>
          </w:p>
          <w:p>
            <w:pPr>
              <w:pStyle w:val="null3"/>
            </w:pPr>
            <w:r>
              <w:rPr>
                <w:rFonts w:ascii="仿宋_GB2312" w:hAnsi="仿宋_GB2312" w:cs="仿宋_GB2312" w:eastAsia="仿宋_GB2312"/>
              </w:rPr>
              <w:t>2.服务地点：西安市临潼区。</w:t>
            </w:r>
          </w:p>
          <w:p>
            <w:pPr>
              <w:pStyle w:val="null3"/>
            </w:pPr>
            <w:r>
              <w:rPr>
                <w:rFonts w:ascii="仿宋_GB2312" w:hAnsi="仿宋_GB2312" w:cs="仿宋_GB2312" w:eastAsia="仿宋_GB2312"/>
              </w:rPr>
              <w:t>3.服务质量：达到国家现行施工验收规范“合格”标准。</w:t>
            </w:r>
          </w:p>
          <w:p>
            <w:pPr>
              <w:pStyle w:val="null3"/>
            </w:pPr>
            <w:r>
              <w:rPr>
                <w:rFonts w:ascii="仿宋_GB2312" w:hAnsi="仿宋_GB2312" w:cs="仿宋_GB2312" w:eastAsia="仿宋_GB2312"/>
              </w:rPr>
              <w:t>4.服务范围：为陕西省西安市临潼区玉米单产提升项目施工和保修阶段内全部监理工作。具体包含本项目施工过程中的质量、安全、进度、投资控制，资料管理、信息管理及协调施工现场各方关系。</w:t>
            </w:r>
          </w:p>
          <w:p>
            <w:pPr>
              <w:pStyle w:val="null3"/>
            </w:pPr>
            <w:r>
              <w:rPr>
                <w:rFonts w:ascii="仿宋_GB2312" w:hAnsi="仿宋_GB2312" w:cs="仿宋_GB2312" w:eastAsia="仿宋_GB2312"/>
              </w:rPr>
              <w:t>5、人员配备:监理单位有健全的组织机构，有资格齐全、专业齐备的监理人员。监理单位应根据具体工程的规模、类型和复杂程度，合理确定监理人员的数量和资质要求，确保监理工作能够有效开展。派遣的监理人员应具备相关专业合法有效的执业资格。</w:t>
            </w:r>
          </w:p>
          <w:p>
            <w:pPr>
              <w:pStyle w:val="null3"/>
            </w:pPr>
            <w:r>
              <w:rPr>
                <w:rFonts w:ascii="仿宋_GB2312" w:hAnsi="仿宋_GB2312" w:cs="仿宋_GB2312" w:eastAsia="仿宋_GB2312"/>
              </w:rPr>
              <w:t>6、成果交付要求：组织施工单位对工程的分部、分项和关键部位进行验收，发现问题及时发返工通知单并报告工程受监的质量监督站，重大事故报建设行政主管部门。组织竣工初检，对工程质量提出评估意见，协助业主组织竣工验收，提出竣工验收报告。</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监理目标</w:t>
            </w:r>
          </w:p>
          <w:p>
            <w:pPr>
              <w:pStyle w:val="null3"/>
            </w:pPr>
            <w:r>
              <w:rPr>
                <w:rFonts w:ascii="仿宋_GB2312" w:hAnsi="仿宋_GB2312" w:cs="仿宋_GB2312" w:eastAsia="仿宋_GB2312"/>
              </w:rPr>
              <w:t>1.确保所监理的工程能够达到该工程施工合同所约定的质量标准和质量目标；</w:t>
            </w:r>
          </w:p>
          <w:p>
            <w:pPr>
              <w:pStyle w:val="null3"/>
            </w:pPr>
            <w:r>
              <w:rPr>
                <w:rFonts w:ascii="仿宋_GB2312" w:hAnsi="仿宋_GB2312" w:cs="仿宋_GB2312" w:eastAsia="仿宋_GB2312"/>
              </w:rPr>
              <w:t>2.确保承包方能够按合同中要求的合同工期完成任务并及时交付使用；</w:t>
            </w:r>
          </w:p>
          <w:p>
            <w:pPr>
              <w:pStyle w:val="null3"/>
            </w:pPr>
            <w:r>
              <w:rPr>
                <w:rFonts w:ascii="仿宋_GB2312" w:hAnsi="仿宋_GB2312" w:cs="仿宋_GB2312" w:eastAsia="仿宋_GB2312"/>
              </w:rPr>
              <w:t>3.要求在整个项目实施阶段开展管理活动，实现项目的实际投资不超过计划投资；</w:t>
            </w:r>
          </w:p>
          <w:p>
            <w:pPr>
              <w:pStyle w:val="null3"/>
            </w:pPr>
            <w:r>
              <w:rPr>
                <w:rFonts w:ascii="仿宋_GB2312" w:hAnsi="仿宋_GB2312" w:cs="仿宋_GB2312" w:eastAsia="仿宋_GB2312"/>
              </w:rPr>
              <w:t>4.认真审查施工组织设计中的安全技术措施和专项施工方案，确保承包人建立健全安全生产责任制和安全生产专项系统，落实安全预防措施，确保工地安全无事故。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技术要求</w:t>
            </w:r>
          </w:p>
          <w:p>
            <w:pPr>
              <w:pStyle w:val="null3"/>
            </w:pPr>
            <w:r>
              <w:rPr>
                <w:rFonts w:ascii="仿宋_GB2312" w:hAnsi="仿宋_GB2312" w:cs="仿宋_GB2312" w:eastAsia="仿宋_GB2312"/>
              </w:rPr>
              <w:t>严格执行委托人关于建设工程全过程跟踪监理的有关规定，履行各项职责，接受委托人的监督。</w:t>
            </w:r>
          </w:p>
          <w:p>
            <w:pPr>
              <w:pStyle w:val="null3"/>
            </w:pPr>
            <w:r>
              <w:rPr>
                <w:rFonts w:ascii="仿宋_GB2312" w:hAnsi="仿宋_GB2312" w:cs="仿宋_GB2312" w:eastAsia="仿宋_GB2312"/>
              </w:rPr>
              <w:t>定期沟通制度：成交人定期将监理情况及时向委托人汇报。内容主要包括目前监理工作的进度，监理工作中发现的问题及需要协调的事项。</w:t>
            </w:r>
          </w:p>
          <w:p>
            <w:pPr>
              <w:pStyle w:val="null3"/>
            </w:pPr>
            <w:r>
              <w:rPr>
                <w:rFonts w:ascii="仿宋_GB2312" w:hAnsi="仿宋_GB2312" w:cs="仿宋_GB2312" w:eastAsia="仿宋_GB2312"/>
              </w:rPr>
              <w:t>建立固定联系人制度：明确该监理项目的项目负责人，项目负责人作为与委托人的固定联系人，成交人如需变更则应以书面形式向委托人提出并经委托人书面同意后才能变更。</w:t>
            </w:r>
          </w:p>
          <w:p>
            <w:pPr>
              <w:pStyle w:val="null3"/>
            </w:pPr>
            <w:r>
              <w:rPr>
                <w:rFonts w:ascii="仿宋_GB2312" w:hAnsi="仿宋_GB2312" w:cs="仿宋_GB2312" w:eastAsia="仿宋_GB2312"/>
              </w:rPr>
              <w:t>重大问题请示报告制度：各项目小组在工作中遇到的重大、紧急的、需及时与有关各方沟通及协调处理的问题，经项目负责人提出初步意见后，以重大问题报告的形式随时向提交。</w:t>
            </w:r>
          </w:p>
          <w:p>
            <w:pPr>
              <w:pStyle w:val="null3"/>
            </w:pPr>
            <w:r>
              <w:rPr>
                <w:rFonts w:ascii="仿宋_GB2312" w:hAnsi="仿宋_GB2312" w:cs="仿宋_GB2312" w:eastAsia="仿宋_GB2312"/>
              </w:rPr>
              <w:t>对委托人的服务通知（包括接件及领资料），成交人须在接报后1小时内响应，2小时内到达现场；并保证当委托人有需要时，在3小时内将所有资料按要求完成签名及加盖相应印章后交回委托人。所有需要加盖公章的必须加盖成交人的公章。</w:t>
            </w:r>
          </w:p>
          <w:p>
            <w:pPr>
              <w:pStyle w:val="null3"/>
            </w:pPr>
            <w:r>
              <w:rPr>
                <w:rFonts w:ascii="仿宋_GB2312" w:hAnsi="仿宋_GB2312" w:cs="仿宋_GB2312" w:eastAsia="仿宋_GB2312"/>
              </w:rPr>
              <w:t>本项目跟踪监理，成交人派人进驻现场，实施对工程项目全过程跟踪监理。派驻现场人员确保身体健康，能够适应工程现场工作。且应按响应文件中承诺的人员组织安排，不得更换，如确要变动，需报经委托人书面同意（响应文件需附人员名单及相关资格证书复印件、联系方式）。</w:t>
            </w:r>
          </w:p>
          <w:p>
            <w:pPr>
              <w:pStyle w:val="null3"/>
            </w:pPr>
            <w:r>
              <w:rPr>
                <w:rFonts w:ascii="仿宋_GB2312" w:hAnsi="仿宋_GB2312" w:cs="仿宋_GB2312" w:eastAsia="仿宋_GB2312"/>
              </w:rPr>
              <w:t>验收：工程完工后，由委托人、使用单位组织项目总监及相关人员按照国家行业规范标准和文献资料进行审核、考评。</w:t>
            </w:r>
          </w:p>
          <w:p>
            <w:pPr>
              <w:pStyle w:val="null3"/>
            </w:pPr>
            <w:r>
              <w:rPr>
                <w:rFonts w:ascii="仿宋_GB2312" w:hAnsi="仿宋_GB2312" w:cs="仿宋_GB2312" w:eastAsia="仿宋_GB2312"/>
              </w:rPr>
              <w:t>中标单位应在合同签订后接招标方通知之日起7个日历日内安排人员（项目组成人员简历表所列）与使用单位实施工作进行安排、部署、计划。若未能在按照项目实际施工时间完成规定的义务，由此对招标方造成的延误和一切损失，由中标单位承担和赔偿。</w:t>
            </w:r>
          </w:p>
          <w:p>
            <w:pPr>
              <w:pStyle w:val="null3"/>
            </w:pPr>
            <w:r>
              <w:rPr>
                <w:rFonts w:ascii="仿宋_GB2312" w:hAnsi="仿宋_GB2312" w:cs="仿宋_GB2312" w:eastAsia="仿宋_GB2312"/>
              </w:rPr>
              <w:t>合同金额付清后，该监理项目的所有监理取证资料及监理工作底稿以及监理报告版权属委托人所有，成交人需将相关监理资料按委托人要求提交委托人归档。如有需要，委托人可随时查阅成交人的监理归档材料。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违约责任</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自项目开工之日起至项目施工验收合格之日止。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项目正式开工后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待工程结算审计完成且采购人收到监理提交的工程结算审核意见书和监理竣工报告后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2、未按合同要求提供服务或服务质量不能满足技术要求，采购人有权终止合同，依法并对成交供应商违约行为进行追究，同时报请政府采购监督管理机关按《中华人民共和国政府采购法》的有关规定进行处罚。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监理服务费、人工费、运杂费、采购代理服务费、税金等其他一切相关费用。任何有选择的报价将不予接受，否则按无效磋商处理。 （2）项目类型：服务。本项目所属行业为：其他未列明行业。从业人员300人以下的为中小微型企业。其中，从业人员100人及以上的为中型企业；从业人员10人及以上的为小型企业；从业人员10人以下的为微型企业。 （3）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4）为顺利推进政府采购电子化交易平台应用工作，供应商需要在线提交所有通过电子化交易平台实施的政府采购项目的响应文件，同时，成交供应商领取成交通知书时，应线下提交纸质版响应文件，正本壹份、副本贰套至代理机构。 线上电子响应文件与纸质响应文件一致;若正本和副本不符，以正本为准。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审计报告(成立时间至提交投标文件截止时间不足一年的可提供成立后任意时段的资产负债表)，或其基本存款账户开户银行出具的近六个月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主要负责人）身份证明书；法定代表人授权他人参加磋商的，须提供法定代表人（主要负责人）委托授权书。磋商文件中凡是需要法定代表人盖章之处，非法人单位的负责人均参照执行。法人的分支机构参与磋商时，除提供《法定代表人（主要负责人）委托授权书》外，还须同时提供法人给分支机构出具的授权书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供应商须具备水利工程施工监理丙级（含丙级）以上资质，并在人员、设备、资金等方面具备相应的监理能力；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拟派项目总监理工程师须具备水利工程专业监理工程师注册证书，在本单位注册，且未担任其它在建工程项目的总监理工程师（提供无在监声明）；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网站记录的“失信被执行人、重大税收违法案件当事人、企业经营异常名录”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其他声明</w:t>
            </w:r>
          </w:p>
        </w:tc>
        <w:tc>
          <w:tcPr>
            <w:tcW w:type="dxa" w:w="3322"/>
          </w:tcPr>
          <w:p>
            <w:pPr>
              <w:pStyle w:val="null3"/>
            </w:pPr>
            <w:r>
              <w:rPr>
                <w:rFonts w:ascii="仿宋_GB2312" w:hAnsi="仿宋_GB2312" w:cs="仿宋_GB2312" w:eastAsia="仿宋_GB2312"/>
              </w:rPr>
              <w:t>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中小企业声明函 其他证明材料.docx 报价表 资格证明文件.docx 响应文件封面 商务响应偏离表.docx 残疾人福利性单位声明函 服务响应偏离表.docx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磋商小组审查磋商响应文件是否完整，文件签署是否合格、磋商有效期是否满足磋商文件要求，商务及技术响应满足磋商文件要求等。</w:t>
            </w:r>
          </w:p>
        </w:tc>
        <w:tc>
          <w:tcPr>
            <w:tcW w:type="dxa" w:w="1661"/>
          </w:tcPr>
          <w:p>
            <w:pPr>
              <w:pStyle w:val="null3"/>
            </w:pPr>
            <w:r>
              <w:rPr>
                <w:rFonts w:ascii="仿宋_GB2312" w:hAnsi="仿宋_GB2312" w:cs="仿宋_GB2312" w:eastAsia="仿宋_GB2312"/>
              </w:rPr>
              <w:t>业绩.docx 中小企业声明函 其他证明材料.docx 资格证明文件.docx 响应文件封面 商务响应偏离表.docx 残疾人福利性单位声明函 服务响应偏离表.docx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业绩.docx 中小企业声明函 其他证明材料.docx 资格证明文件.docx 响应文件封面 商务响应偏离表.docx 残疾人福利性单位声明函 服务响应偏离表.docx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按磋商文件要求报价，不得提交选择性报价，且不超过采购预算金额及最高限价。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监理控制目标</w:t>
            </w:r>
          </w:p>
        </w:tc>
        <w:tc>
          <w:tcPr>
            <w:tcW w:type="dxa" w:w="2492"/>
          </w:tcPr>
          <w:p>
            <w:pPr>
              <w:pStyle w:val="null3"/>
            </w:pPr>
            <w:r>
              <w:rPr>
                <w:rFonts w:ascii="仿宋_GB2312" w:hAnsi="仿宋_GB2312" w:cs="仿宋_GB2312" w:eastAsia="仿宋_GB2312"/>
              </w:rPr>
              <w:t>通过全方位分析了解本项目监理服务范围，并编写详尽的方案，根据质量、进度控制目标明确性、保证措施完善性、合理性、可行性。阐述问题明确，解决思路的简单可行性强得(10-15]分;阐述基本合理可行得(5-10]分;阐述不完善，且欠缺的得[1-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安全防护控制措施</w:t>
            </w:r>
          </w:p>
        </w:tc>
        <w:tc>
          <w:tcPr>
            <w:tcW w:type="dxa" w:w="2492"/>
          </w:tcPr>
          <w:p>
            <w:pPr>
              <w:pStyle w:val="null3"/>
            </w:pPr>
            <w:r>
              <w:rPr>
                <w:rFonts w:ascii="仿宋_GB2312" w:hAnsi="仿宋_GB2312" w:cs="仿宋_GB2312" w:eastAsia="仿宋_GB2312"/>
              </w:rPr>
              <w:t>安全防护控制措施、环境保护、文明施工控制措施，制度健全内容清楚、职责明确，工作合理、制度事实依据清楚(7-10]分，内容基本完整、方法措施一般得(4-7]分;内容不完整、措施不力得[1-4]分，不提供不得分。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重点、难点部位的监理措施</w:t>
            </w:r>
          </w:p>
        </w:tc>
        <w:tc>
          <w:tcPr>
            <w:tcW w:type="dxa" w:w="2492"/>
          </w:tcPr>
          <w:p>
            <w:pPr>
              <w:pStyle w:val="null3"/>
            </w:pPr>
            <w:r>
              <w:rPr>
                <w:rFonts w:ascii="仿宋_GB2312" w:hAnsi="仿宋_GB2312" w:cs="仿宋_GB2312" w:eastAsia="仿宋_GB2312"/>
              </w:rPr>
              <w:t>本工程重点、难点部位的监理措施，方案非常详细、完整，方案可行性强、目的明确得(7-10]分;内容基本完整、方法措施一般得(4-7]分;方案不完善且欠缺的得[1-4]分，不提供不得分。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合同管理、信息管理措施</w:t>
            </w:r>
          </w:p>
        </w:tc>
        <w:tc>
          <w:tcPr>
            <w:tcW w:type="dxa" w:w="2492"/>
          </w:tcPr>
          <w:p>
            <w:pPr>
              <w:pStyle w:val="null3"/>
            </w:pPr>
            <w:r>
              <w:rPr>
                <w:rFonts w:ascii="仿宋_GB2312" w:hAnsi="仿宋_GB2312" w:cs="仿宋_GB2312" w:eastAsia="仿宋_GB2312"/>
              </w:rPr>
              <w:t>同管理、监理档案管理、信息管理措施的全面合理性，内容完整、方法手段先进、措施有力得(7-10]分;内容基本完整、方法措施一般得(4-7]分;内容不完整、措施不力得[1-4]分。不提供不得分。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造价控制措施</w:t>
            </w:r>
          </w:p>
        </w:tc>
        <w:tc>
          <w:tcPr>
            <w:tcW w:type="dxa" w:w="2492"/>
          </w:tcPr>
          <w:p>
            <w:pPr>
              <w:pStyle w:val="null3"/>
            </w:pPr>
            <w:r>
              <w:rPr>
                <w:rFonts w:ascii="仿宋_GB2312" w:hAnsi="仿宋_GB2312" w:cs="仿宋_GB2312" w:eastAsia="仿宋_GB2312"/>
              </w:rPr>
              <w:t>根据造价控制措施方案完善性、合理性、可行性、造价风险分析和防索赔措施完整性。方案及流程完善明确，符合实际情况措施有力得(7-10]分;内容基本完整、方法措施一般得(4-7]分;内容不完整、措施不力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施工中各种矛盾组织协调及保修阶段的服务工作的保修阶段监理服务工作计划，矛盾分析、化解措施及保修阶段监理服务，内容考虑周全、措施得当者，得(7-10]分;内容考虑、措施一般得(4-7]分内容不周全或未予考虑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项目管理机构1</w:t>
            </w:r>
          </w:p>
        </w:tc>
        <w:tc>
          <w:tcPr>
            <w:tcW w:type="dxa" w:w="2492"/>
          </w:tcPr>
          <w:p>
            <w:pPr>
              <w:pStyle w:val="null3"/>
            </w:pPr>
            <w:r>
              <w:rPr>
                <w:rFonts w:ascii="仿宋_GB2312" w:hAnsi="仿宋_GB2312" w:cs="仿宋_GB2312" w:eastAsia="仿宋_GB2312"/>
              </w:rPr>
              <w:t>1.拟派总监理工程师:具备水利工程类相关专业高级职称得2分，其它职称不得分。 2.拟派人员配置:配备的监理人员中（除总监理工程师外）,须具水利工程专业监理工程师资格，且人员数量配置合理，配备1人得1分，配备2人得2分，配备3人及以上得3分（证明材料包括但不限于人员注册证书、毕业证、身份证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项目管理机构2</w:t>
            </w:r>
          </w:p>
        </w:tc>
        <w:tc>
          <w:tcPr>
            <w:tcW w:type="dxa" w:w="2492"/>
          </w:tcPr>
          <w:p>
            <w:pPr>
              <w:pStyle w:val="null3"/>
            </w:pPr>
            <w:r>
              <w:rPr>
                <w:rFonts w:ascii="仿宋_GB2312" w:hAnsi="仿宋_GB2312" w:cs="仿宋_GB2312" w:eastAsia="仿宋_GB2312"/>
              </w:rPr>
              <w:t>项目监理机构组织完善、合理，监理机构设置合理、岗位职责清楚(3-6]分，监理机构设置不合理晰、岗位职责混乱[1-3]分。不提供不得分。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供应商承诺具有服务全过程的质量、时间节点的控制措施;承诺内容及措施完善合理得(7-10]分，承诺内容及措施合理性一般得(4-7]分，承诺内容及措施内容欠缺，合理性差得[1-4]分。未提供不计分。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供应商提供2022年5月1日至投标截止前类似业绩；每提供1份计2分，最高得4分。业绩证明（提供完整的合同复印件加盖公章，时间以合同签订日期为准），证明材料不符合要求或未提供的均不得分。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其他供应商的价格分统一按照下列公式计算：响应报价得分=(基准价／响应报价)×价格权值×100，计算分数时四舍五入取小数点后两位。3.供应商的报价明显低于正常报价的，评标委员会可要求供应商在规定的期限内提供相关证明材料；供应商不能证明其报价合理的，可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