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版本号：KFZB202505220120250522001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西安市临潼区小金街道基础设施建设项目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KFZB2025052201</w:t>
      </w:r>
      <w:r>
        <w:br/>
      </w:r>
      <w:r>
        <w:br/>
      </w:r>
      <w:r>
        <w:br/>
      </w:r>
    </w:p>
    <w:p>
      <w:pPr>
        <w:pStyle w:val="null3"/>
        <w:jc w:val="center"/>
        <w:outlineLvl w:val="2"/>
      </w:pPr>
      <w:r>
        <w:rPr>
          <w:rFonts w:ascii="仿宋_GB2312" w:hAnsi="仿宋_GB2312" w:cs="仿宋_GB2312" w:eastAsia="仿宋_GB2312"/>
          <w:sz w:val="28"/>
          <w:b/>
        </w:rPr>
        <w:t>西安市临潼区小金街道办事处</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西安市临潼区小金街道办事处</w:t>
      </w:r>
      <w:r>
        <w:rPr>
          <w:rFonts w:ascii="仿宋_GB2312" w:hAnsi="仿宋_GB2312" w:cs="仿宋_GB2312" w:eastAsia="仿宋_GB2312"/>
        </w:rPr>
        <w:t>委托，拟对</w:t>
      </w:r>
      <w:r>
        <w:rPr>
          <w:rFonts w:ascii="仿宋_GB2312" w:hAnsi="仿宋_GB2312" w:cs="仿宋_GB2312" w:eastAsia="仿宋_GB2312"/>
        </w:rPr>
        <w:t>西安市临潼区小金街道基础设施建设项目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KFZB2025052201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西安市临潼区小金街道基础设施建设项目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小金街道基础设施建设项目，小金村张西组新建混凝土排水渠79.8米，硬化路面693平方米，官北组新修排水渠79.8米，硬化路面32.55平方米，铺设DN500混凝土排水管35.4米，铺设沥青路面1641.49平方米。王兴寨硬化路面373.8平方米，南沟生产路清理土方2000立方米。毛湾村恢复路面39.13平方米。湾村新建挡墙109.81立方米，村委会新建挡墙54.32立方米，王新庄硬化路面112.2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采购包1（西安市临潼区小金街道基础设施建设项目）：属于专门面向中小企业采购。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1、营业执照：具有独立承担民事责任的能力，具有法人、事业法人、其他组织的营业执照等证明文件；</w:t>
      </w:r>
    </w:p>
    <w:p>
      <w:pPr>
        <w:pStyle w:val="null3"/>
      </w:pPr>
      <w:r>
        <w:rPr>
          <w:rFonts w:ascii="仿宋_GB2312" w:hAnsi="仿宋_GB2312" w:cs="仿宋_GB2312" w:eastAsia="仿宋_GB2312"/>
        </w:rPr>
        <w:t>2、供应商资质：供应商具有建筑工程或市政工程施工总承包三级(含三级)以上资质，并具有有效的安全生产许可证；</w:t>
      </w:r>
    </w:p>
    <w:p>
      <w:pPr>
        <w:pStyle w:val="null3"/>
      </w:pPr>
      <w:r>
        <w:rPr>
          <w:rFonts w:ascii="仿宋_GB2312" w:hAnsi="仿宋_GB2312" w:cs="仿宋_GB2312" w:eastAsia="仿宋_GB2312"/>
        </w:rPr>
        <w:t>3、法定代表人授权书：法定代表人授权委托书(附法定代表人身份证复印件)及被授权委托人身份证(法定代表人参加投标只须提供法定代表人身份证)；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4、拟派项目经理资质和专业要求：拟派项目经理须具备建筑工程或市政公用工程专业二级(含二级)以上注册建造师资格，具有有效的安全生产考核合格证书(安B证)，且未担任其他在建工程项目的项目经理声明；</w:t>
      </w:r>
    </w:p>
    <w:p>
      <w:pPr>
        <w:pStyle w:val="null3"/>
      </w:pPr>
      <w:r>
        <w:rPr>
          <w:rFonts w:ascii="仿宋_GB2312" w:hAnsi="仿宋_GB2312" w:cs="仿宋_GB2312" w:eastAsia="仿宋_GB2312"/>
        </w:rPr>
        <w:t>5、税收缴纳证明：提供投标截止日前6个月内已缴纳的至少一个月的纳税证明或完税证明，依法免税的单位应提供相关证明材料；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7、参加政府采购活动前三年内无重大违法记录：参加政府采购活动前3年内经营活动中无重大违法记录声明；</w:t>
      </w:r>
    </w:p>
    <w:p>
      <w:pPr>
        <w:pStyle w:val="null3"/>
      </w:pPr>
      <w:r>
        <w:rPr>
          <w:rFonts w:ascii="仿宋_GB2312" w:hAnsi="仿宋_GB2312" w:cs="仿宋_GB2312" w:eastAsia="仿宋_GB2312"/>
        </w:rPr>
        <w:t>8、供应商信誉：供应商未被“信用中国”网站(www.creditchina.gov.cn/)列入失信被执行人和重大税收违法失信主体，未被中国政府采购网(www.cc.gov.sn)列入政府采购严重违法失信行为记录名单；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9、履行本合同所必需的设备和专业技术能力：提供具有履行本合同所必需的设备和专业技术能力的说明及承诺；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10、单位负责人为同一人或者存在控股、管理关系的不同单位不得同时磋商：提供相关声明；</w:t>
      </w:r>
    </w:p>
    <w:p>
      <w:pPr>
        <w:pStyle w:val="null3"/>
      </w:pPr>
      <w:r>
        <w:rPr>
          <w:rFonts w:ascii="仿宋_GB2312" w:hAnsi="仿宋_GB2312" w:cs="仿宋_GB2312" w:eastAsia="仿宋_GB2312"/>
        </w:rPr>
        <w:t>11、非联合体投标声明：提供非联合体投标声明。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西安市临潼区小金街道办事处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临潼区小金街道1号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魏才广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83949508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陕西省西安市临潼区西关正街铁一处小区6号楼1单元北侧一楼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发改委“计价格[2002]1980号文”“发改办价格(2003)857号文”和“发改价格[2011]534号《国家发展和改革委员会关于降低部分建设项目收费标准规范收费行为等有关问题的通知》”差额定率累进法计算收取代理报酬。代理报酬不足5000元的按5000元计取。 2、工程造价咨询费以中标价为基数参照“陕价行发(2014)88号文《关于我省工程造价咨询服务收费管理有关问题的通知》”差额定率累进法计算收取代理报酬。工程造价咨询服务收费额低于2000元时，按2000元收费。 3、招标代理服务费、工程造价咨询费、会务费及专家费等由中标人支付，在《中标通知书》发出前，由中标人采用现金、转账或汇款方式一次性支付给采购代理机构。 招标代理服务费、工程造价咨询费、会务费及专家费等指定银行账户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西安市临潼区小金街道办事处</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西安市临潼区小金街道办事处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西安市临潼区小金街道办事处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地址：西安市临潼区西关正街铁一处小区6号楼1单元北侧一楼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西安市临潼区小金街道基础设施建设项目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标的名称：西安市临潼区小金街道基础设施建设项目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left"/>
            </w:pPr>
            <w:r>
              <w:rPr>
                <w:rFonts w:ascii="仿宋_GB2312" w:hAnsi="仿宋_GB2312" w:cs="仿宋_GB2312" w:eastAsia="仿宋_GB2312"/>
                <w:sz w:val="24"/>
                <w:b/>
                <w:color w:val="000000"/>
              </w:rPr>
              <w:t>一、项目概况</w:t>
            </w:r>
          </w:p>
          <w:p>
            <w:pPr>
              <w:pStyle w:val="null3"/>
              <w:spacing w:before="120" w:after="120"/>
              <w:ind w:firstLine="480"/>
              <w:jc w:val="left"/>
            </w:pPr>
            <w:r>
              <w:rPr>
                <w:rFonts w:ascii="仿宋_GB2312" w:hAnsi="仿宋_GB2312" w:cs="仿宋_GB2312" w:eastAsia="仿宋_GB2312"/>
                <w:sz w:val="24"/>
                <w:color w:val="000000"/>
              </w:rPr>
              <w:t>小金村张西组新建混凝土排水渠</w:t>
            </w:r>
            <w:r>
              <w:rPr>
                <w:rFonts w:ascii="仿宋_GB2312" w:hAnsi="仿宋_GB2312" w:cs="仿宋_GB2312" w:eastAsia="仿宋_GB2312"/>
                <w:sz w:val="24"/>
                <w:color w:val="000000"/>
              </w:rPr>
              <w:t>79.8</w:t>
            </w:r>
            <w:r>
              <w:rPr>
                <w:rFonts w:ascii="仿宋_GB2312" w:hAnsi="仿宋_GB2312" w:cs="仿宋_GB2312" w:eastAsia="仿宋_GB2312"/>
                <w:sz w:val="24"/>
                <w:color w:val="000000"/>
              </w:rPr>
              <w:t>米，硬化路面</w:t>
            </w:r>
            <w:r>
              <w:rPr>
                <w:rFonts w:ascii="仿宋_GB2312" w:hAnsi="仿宋_GB2312" w:cs="仿宋_GB2312" w:eastAsia="仿宋_GB2312"/>
                <w:sz w:val="24"/>
                <w:color w:val="000000"/>
              </w:rPr>
              <w:t>693</w:t>
            </w:r>
            <w:r>
              <w:rPr>
                <w:rFonts w:ascii="仿宋_GB2312" w:hAnsi="仿宋_GB2312" w:cs="仿宋_GB2312" w:eastAsia="仿宋_GB2312"/>
                <w:sz w:val="24"/>
                <w:color w:val="000000"/>
              </w:rPr>
              <w:t>平方米</w:t>
            </w:r>
            <w:r>
              <w:rPr>
                <w:rFonts w:ascii="仿宋_GB2312" w:hAnsi="仿宋_GB2312" w:cs="仿宋_GB2312" w:eastAsia="仿宋_GB2312"/>
                <w:sz w:val="24"/>
                <w:color w:val="000000"/>
              </w:rPr>
              <w:t>，</w:t>
            </w:r>
            <w:r>
              <w:rPr>
                <w:rFonts w:ascii="仿宋_GB2312" w:hAnsi="仿宋_GB2312" w:cs="仿宋_GB2312" w:eastAsia="仿宋_GB2312"/>
                <w:sz w:val="24"/>
                <w:color w:val="000000"/>
              </w:rPr>
              <w:t>官北组新修排水渠</w:t>
            </w:r>
            <w:r>
              <w:rPr>
                <w:rFonts w:ascii="仿宋_GB2312" w:hAnsi="仿宋_GB2312" w:cs="仿宋_GB2312" w:eastAsia="仿宋_GB2312"/>
                <w:sz w:val="24"/>
                <w:color w:val="000000"/>
              </w:rPr>
              <w:t>79.8</w:t>
            </w:r>
            <w:r>
              <w:rPr>
                <w:rFonts w:ascii="仿宋_GB2312" w:hAnsi="仿宋_GB2312" w:cs="仿宋_GB2312" w:eastAsia="仿宋_GB2312"/>
                <w:sz w:val="24"/>
                <w:color w:val="000000"/>
              </w:rPr>
              <w:t>米，硬化路面</w:t>
            </w:r>
            <w:r>
              <w:rPr>
                <w:rFonts w:ascii="仿宋_GB2312" w:hAnsi="仿宋_GB2312" w:cs="仿宋_GB2312" w:eastAsia="仿宋_GB2312"/>
                <w:sz w:val="24"/>
                <w:color w:val="000000"/>
              </w:rPr>
              <w:t>32</w:t>
            </w: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平方米，铺设</w:t>
            </w:r>
            <w:r>
              <w:rPr>
                <w:rFonts w:ascii="仿宋_GB2312" w:hAnsi="仿宋_GB2312" w:cs="仿宋_GB2312" w:eastAsia="仿宋_GB2312"/>
                <w:sz w:val="24"/>
                <w:color w:val="000000"/>
              </w:rPr>
              <w:t>DN500</w:t>
            </w:r>
            <w:r>
              <w:rPr>
                <w:rFonts w:ascii="仿宋_GB2312" w:hAnsi="仿宋_GB2312" w:cs="仿宋_GB2312" w:eastAsia="仿宋_GB2312"/>
                <w:sz w:val="24"/>
                <w:color w:val="000000"/>
              </w:rPr>
              <w:t>混凝土排水管</w:t>
            </w:r>
            <w:r>
              <w:rPr>
                <w:rFonts w:ascii="仿宋_GB2312" w:hAnsi="仿宋_GB2312" w:cs="仿宋_GB2312" w:eastAsia="仿宋_GB2312"/>
                <w:sz w:val="24"/>
                <w:color w:val="000000"/>
              </w:rPr>
              <w:t>35.4</w:t>
            </w:r>
            <w:r>
              <w:rPr>
                <w:rFonts w:ascii="仿宋_GB2312" w:hAnsi="仿宋_GB2312" w:cs="仿宋_GB2312" w:eastAsia="仿宋_GB2312"/>
                <w:sz w:val="24"/>
                <w:color w:val="000000"/>
              </w:rPr>
              <w:t>米，铺设沥青路面</w:t>
            </w:r>
            <w:r>
              <w:rPr>
                <w:rFonts w:ascii="仿宋_GB2312" w:hAnsi="仿宋_GB2312" w:cs="仿宋_GB2312" w:eastAsia="仿宋_GB2312"/>
                <w:sz w:val="24"/>
                <w:color w:val="000000"/>
              </w:rPr>
              <w:t>1641.49</w:t>
            </w:r>
            <w:r>
              <w:rPr>
                <w:rFonts w:ascii="仿宋_GB2312" w:hAnsi="仿宋_GB2312" w:cs="仿宋_GB2312" w:eastAsia="仿宋_GB2312"/>
                <w:sz w:val="24"/>
                <w:color w:val="000000"/>
              </w:rPr>
              <w:t>平方米。王兴寨硬化路面</w:t>
            </w:r>
            <w:r>
              <w:rPr>
                <w:rFonts w:ascii="仿宋_GB2312" w:hAnsi="仿宋_GB2312" w:cs="仿宋_GB2312" w:eastAsia="仿宋_GB2312"/>
                <w:sz w:val="24"/>
                <w:color w:val="000000"/>
              </w:rPr>
              <w:t>373.8</w:t>
            </w:r>
            <w:r>
              <w:rPr>
                <w:rFonts w:ascii="仿宋_GB2312" w:hAnsi="仿宋_GB2312" w:cs="仿宋_GB2312" w:eastAsia="仿宋_GB2312"/>
                <w:sz w:val="24"/>
                <w:color w:val="000000"/>
              </w:rPr>
              <w:t>平方米，南沟生产路清理土方</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立方米。毛湾村恢复路面</w:t>
            </w:r>
            <w:r>
              <w:rPr>
                <w:rFonts w:ascii="仿宋_GB2312" w:hAnsi="仿宋_GB2312" w:cs="仿宋_GB2312" w:eastAsia="仿宋_GB2312"/>
                <w:sz w:val="24"/>
                <w:color w:val="000000"/>
              </w:rPr>
              <w:t>39.13</w:t>
            </w:r>
            <w:r>
              <w:rPr>
                <w:rFonts w:ascii="仿宋_GB2312" w:hAnsi="仿宋_GB2312" w:cs="仿宋_GB2312" w:eastAsia="仿宋_GB2312"/>
                <w:sz w:val="24"/>
                <w:color w:val="000000"/>
              </w:rPr>
              <w:t>平方米。湾村新建挡墙</w:t>
            </w:r>
            <w:r>
              <w:rPr>
                <w:rFonts w:ascii="仿宋_GB2312" w:hAnsi="仿宋_GB2312" w:cs="仿宋_GB2312" w:eastAsia="仿宋_GB2312"/>
                <w:sz w:val="24"/>
                <w:color w:val="000000"/>
              </w:rPr>
              <w:t>109.81</w:t>
            </w:r>
            <w:r>
              <w:rPr>
                <w:rFonts w:ascii="仿宋_GB2312" w:hAnsi="仿宋_GB2312" w:cs="仿宋_GB2312" w:eastAsia="仿宋_GB2312"/>
                <w:sz w:val="24"/>
                <w:color w:val="000000"/>
              </w:rPr>
              <w:t>立方米，村委会新建挡墙</w:t>
            </w:r>
            <w:r>
              <w:rPr>
                <w:rFonts w:ascii="仿宋_GB2312" w:hAnsi="仿宋_GB2312" w:cs="仿宋_GB2312" w:eastAsia="仿宋_GB2312"/>
                <w:sz w:val="24"/>
                <w:color w:val="000000"/>
              </w:rPr>
              <w:t>54.32</w:t>
            </w:r>
            <w:r>
              <w:rPr>
                <w:rFonts w:ascii="仿宋_GB2312" w:hAnsi="仿宋_GB2312" w:cs="仿宋_GB2312" w:eastAsia="仿宋_GB2312"/>
                <w:sz w:val="24"/>
                <w:color w:val="000000"/>
              </w:rPr>
              <w:t>立方米，王新庄硬化路面</w:t>
            </w:r>
            <w:r>
              <w:rPr>
                <w:rFonts w:ascii="仿宋_GB2312" w:hAnsi="仿宋_GB2312" w:cs="仿宋_GB2312" w:eastAsia="仿宋_GB2312"/>
                <w:sz w:val="24"/>
                <w:color w:val="000000"/>
              </w:rPr>
              <w:t>112.2</w:t>
            </w:r>
            <w:r>
              <w:rPr>
                <w:rFonts w:ascii="仿宋_GB2312" w:hAnsi="仿宋_GB2312" w:cs="仿宋_GB2312" w:eastAsia="仿宋_GB2312"/>
                <w:sz w:val="24"/>
                <w:color w:val="000000"/>
              </w:rPr>
              <w:t>平方米。</w:t>
            </w:r>
          </w:p>
          <w:p>
            <w:pPr>
              <w:pStyle w:val="null3"/>
              <w:spacing w:before="120" w:after="120"/>
              <w:jc w:val="left"/>
            </w:pPr>
            <w:r>
              <w:rPr>
                <w:rFonts w:ascii="仿宋_GB2312" w:hAnsi="仿宋_GB2312" w:cs="仿宋_GB2312" w:eastAsia="仿宋_GB2312"/>
                <w:sz w:val="24"/>
                <w:b/>
                <w:color w:val="000000"/>
              </w:rPr>
              <w:t>二、工程内容和施工地点、计划工期、缺陷责任期、质量保修期</w:t>
            </w:r>
          </w:p>
          <w:p>
            <w:pPr>
              <w:pStyle w:val="null3"/>
              <w:spacing w:before="120"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工程内容：小金村张西组新建混凝土排水渠</w:t>
            </w:r>
            <w:r>
              <w:rPr>
                <w:rFonts w:ascii="仿宋_GB2312" w:hAnsi="仿宋_GB2312" w:cs="仿宋_GB2312" w:eastAsia="仿宋_GB2312"/>
                <w:sz w:val="24"/>
                <w:color w:val="000000"/>
              </w:rPr>
              <w:t>79.8</w:t>
            </w:r>
            <w:r>
              <w:rPr>
                <w:rFonts w:ascii="仿宋_GB2312" w:hAnsi="仿宋_GB2312" w:cs="仿宋_GB2312" w:eastAsia="仿宋_GB2312"/>
                <w:sz w:val="24"/>
                <w:color w:val="000000"/>
              </w:rPr>
              <w:t>米，硬化路面</w:t>
            </w:r>
            <w:r>
              <w:rPr>
                <w:rFonts w:ascii="仿宋_GB2312" w:hAnsi="仿宋_GB2312" w:cs="仿宋_GB2312" w:eastAsia="仿宋_GB2312"/>
                <w:sz w:val="24"/>
                <w:color w:val="000000"/>
              </w:rPr>
              <w:t>693</w:t>
            </w:r>
            <w:r>
              <w:rPr>
                <w:rFonts w:ascii="仿宋_GB2312" w:hAnsi="仿宋_GB2312" w:cs="仿宋_GB2312" w:eastAsia="仿宋_GB2312"/>
                <w:sz w:val="24"/>
                <w:color w:val="000000"/>
              </w:rPr>
              <w:t>平方米</w:t>
            </w:r>
            <w:r>
              <w:rPr>
                <w:rFonts w:ascii="仿宋_GB2312" w:hAnsi="仿宋_GB2312" w:cs="仿宋_GB2312" w:eastAsia="仿宋_GB2312"/>
                <w:sz w:val="24"/>
                <w:color w:val="000000"/>
              </w:rPr>
              <w:t>，</w:t>
            </w:r>
            <w:r>
              <w:rPr>
                <w:rFonts w:ascii="仿宋_GB2312" w:hAnsi="仿宋_GB2312" w:cs="仿宋_GB2312" w:eastAsia="仿宋_GB2312"/>
                <w:sz w:val="24"/>
                <w:color w:val="000000"/>
              </w:rPr>
              <w:t>官北组新修排水渠</w:t>
            </w:r>
            <w:r>
              <w:rPr>
                <w:rFonts w:ascii="仿宋_GB2312" w:hAnsi="仿宋_GB2312" w:cs="仿宋_GB2312" w:eastAsia="仿宋_GB2312"/>
                <w:sz w:val="24"/>
                <w:color w:val="000000"/>
              </w:rPr>
              <w:t>79.8</w:t>
            </w:r>
            <w:r>
              <w:rPr>
                <w:rFonts w:ascii="仿宋_GB2312" w:hAnsi="仿宋_GB2312" w:cs="仿宋_GB2312" w:eastAsia="仿宋_GB2312"/>
                <w:sz w:val="24"/>
                <w:color w:val="000000"/>
              </w:rPr>
              <w:t>米，硬化路面</w:t>
            </w:r>
            <w:r>
              <w:rPr>
                <w:rFonts w:ascii="仿宋_GB2312" w:hAnsi="仿宋_GB2312" w:cs="仿宋_GB2312" w:eastAsia="仿宋_GB2312"/>
                <w:sz w:val="24"/>
                <w:color w:val="000000"/>
              </w:rPr>
              <w:t>32</w:t>
            </w: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r>
              <w:rPr>
                <w:rFonts w:ascii="仿宋_GB2312" w:hAnsi="仿宋_GB2312" w:cs="仿宋_GB2312" w:eastAsia="仿宋_GB2312"/>
                <w:sz w:val="24"/>
                <w:color w:val="000000"/>
              </w:rPr>
              <w:t>平方米，铺设</w:t>
            </w:r>
            <w:r>
              <w:rPr>
                <w:rFonts w:ascii="仿宋_GB2312" w:hAnsi="仿宋_GB2312" w:cs="仿宋_GB2312" w:eastAsia="仿宋_GB2312"/>
                <w:sz w:val="24"/>
                <w:color w:val="000000"/>
              </w:rPr>
              <w:t>DN500</w:t>
            </w:r>
            <w:r>
              <w:rPr>
                <w:rFonts w:ascii="仿宋_GB2312" w:hAnsi="仿宋_GB2312" w:cs="仿宋_GB2312" w:eastAsia="仿宋_GB2312"/>
                <w:sz w:val="24"/>
                <w:color w:val="000000"/>
              </w:rPr>
              <w:t>混凝土排水管</w:t>
            </w:r>
            <w:r>
              <w:rPr>
                <w:rFonts w:ascii="仿宋_GB2312" w:hAnsi="仿宋_GB2312" w:cs="仿宋_GB2312" w:eastAsia="仿宋_GB2312"/>
                <w:sz w:val="24"/>
                <w:color w:val="000000"/>
              </w:rPr>
              <w:t>35.4</w:t>
            </w:r>
            <w:r>
              <w:rPr>
                <w:rFonts w:ascii="仿宋_GB2312" w:hAnsi="仿宋_GB2312" w:cs="仿宋_GB2312" w:eastAsia="仿宋_GB2312"/>
                <w:sz w:val="24"/>
                <w:color w:val="000000"/>
              </w:rPr>
              <w:t>米，铺设沥青路面</w:t>
            </w:r>
            <w:r>
              <w:rPr>
                <w:rFonts w:ascii="仿宋_GB2312" w:hAnsi="仿宋_GB2312" w:cs="仿宋_GB2312" w:eastAsia="仿宋_GB2312"/>
                <w:sz w:val="24"/>
                <w:color w:val="000000"/>
              </w:rPr>
              <w:t>1641.49</w:t>
            </w:r>
            <w:r>
              <w:rPr>
                <w:rFonts w:ascii="仿宋_GB2312" w:hAnsi="仿宋_GB2312" w:cs="仿宋_GB2312" w:eastAsia="仿宋_GB2312"/>
                <w:sz w:val="24"/>
                <w:color w:val="000000"/>
              </w:rPr>
              <w:t>平方米。王兴寨硬化路面</w:t>
            </w:r>
            <w:r>
              <w:rPr>
                <w:rFonts w:ascii="仿宋_GB2312" w:hAnsi="仿宋_GB2312" w:cs="仿宋_GB2312" w:eastAsia="仿宋_GB2312"/>
                <w:sz w:val="24"/>
                <w:color w:val="000000"/>
              </w:rPr>
              <w:t>373.8</w:t>
            </w:r>
            <w:r>
              <w:rPr>
                <w:rFonts w:ascii="仿宋_GB2312" w:hAnsi="仿宋_GB2312" w:cs="仿宋_GB2312" w:eastAsia="仿宋_GB2312"/>
                <w:sz w:val="24"/>
                <w:color w:val="000000"/>
              </w:rPr>
              <w:t>平方米，南沟生产路清理土方</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立方米。毛湾村恢复路面</w:t>
            </w:r>
            <w:r>
              <w:rPr>
                <w:rFonts w:ascii="仿宋_GB2312" w:hAnsi="仿宋_GB2312" w:cs="仿宋_GB2312" w:eastAsia="仿宋_GB2312"/>
                <w:sz w:val="24"/>
                <w:color w:val="000000"/>
              </w:rPr>
              <w:t>39.13</w:t>
            </w:r>
            <w:r>
              <w:rPr>
                <w:rFonts w:ascii="仿宋_GB2312" w:hAnsi="仿宋_GB2312" w:cs="仿宋_GB2312" w:eastAsia="仿宋_GB2312"/>
                <w:sz w:val="24"/>
                <w:color w:val="000000"/>
              </w:rPr>
              <w:t>平方米。湾村新建挡墙</w:t>
            </w:r>
            <w:r>
              <w:rPr>
                <w:rFonts w:ascii="仿宋_GB2312" w:hAnsi="仿宋_GB2312" w:cs="仿宋_GB2312" w:eastAsia="仿宋_GB2312"/>
                <w:sz w:val="24"/>
                <w:color w:val="000000"/>
              </w:rPr>
              <w:t>109.81</w:t>
            </w:r>
            <w:r>
              <w:rPr>
                <w:rFonts w:ascii="仿宋_GB2312" w:hAnsi="仿宋_GB2312" w:cs="仿宋_GB2312" w:eastAsia="仿宋_GB2312"/>
                <w:sz w:val="24"/>
                <w:color w:val="000000"/>
              </w:rPr>
              <w:t>立方米，村委会新建挡墙</w:t>
            </w:r>
            <w:r>
              <w:rPr>
                <w:rFonts w:ascii="仿宋_GB2312" w:hAnsi="仿宋_GB2312" w:cs="仿宋_GB2312" w:eastAsia="仿宋_GB2312"/>
                <w:sz w:val="24"/>
                <w:color w:val="000000"/>
              </w:rPr>
              <w:t>54.32</w:t>
            </w:r>
            <w:r>
              <w:rPr>
                <w:rFonts w:ascii="仿宋_GB2312" w:hAnsi="仿宋_GB2312" w:cs="仿宋_GB2312" w:eastAsia="仿宋_GB2312"/>
                <w:sz w:val="24"/>
                <w:color w:val="000000"/>
              </w:rPr>
              <w:t>立方米，王新庄硬化路面</w:t>
            </w:r>
            <w:r>
              <w:rPr>
                <w:rFonts w:ascii="仿宋_GB2312" w:hAnsi="仿宋_GB2312" w:cs="仿宋_GB2312" w:eastAsia="仿宋_GB2312"/>
                <w:sz w:val="24"/>
                <w:color w:val="000000"/>
              </w:rPr>
              <w:t>112.2</w:t>
            </w:r>
            <w:r>
              <w:rPr>
                <w:rFonts w:ascii="仿宋_GB2312" w:hAnsi="仿宋_GB2312" w:cs="仿宋_GB2312" w:eastAsia="仿宋_GB2312"/>
                <w:sz w:val="24"/>
                <w:color w:val="000000"/>
              </w:rPr>
              <w:t>平方米。</w:t>
            </w:r>
          </w:p>
          <w:p>
            <w:pPr>
              <w:pStyle w:val="null3"/>
              <w:spacing w:before="120"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施工地点：西安市临潼区小金街办小金村、毛湾村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欠湾村</w:t>
            </w:r>
          </w:p>
          <w:p>
            <w:pPr>
              <w:pStyle w:val="null3"/>
              <w:spacing w:before="120"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计划工期：</w:t>
            </w:r>
            <w:r>
              <w:rPr>
                <w:rFonts w:ascii="仿宋_GB2312" w:hAnsi="仿宋_GB2312" w:cs="仿宋_GB2312" w:eastAsia="仿宋_GB2312"/>
                <w:sz w:val="24"/>
                <w:color w:val="000000"/>
              </w:rPr>
              <w:t>45</w:t>
            </w:r>
            <w:r>
              <w:rPr>
                <w:rFonts w:ascii="仿宋_GB2312" w:hAnsi="仿宋_GB2312" w:cs="仿宋_GB2312" w:eastAsia="仿宋_GB2312"/>
                <w:sz w:val="24"/>
                <w:color w:val="000000"/>
              </w:rPr>
              <w:t>日历天</w:t>
            </w:r>
          </w:p>
          <w:p>
            <w:pPr>
              <w:pStyle w:val="null3"/>
              <w:spacing w:before="120"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缺陷责任期</w:t>
            </w:r>
            <w:r>
              <w:rPr>
                <w:rFonts w:ascii="仿宋_GB2312" w:hAnsi="仿宋_GB2312" w:cs="仿宋_GB2312" w:eastAsia="仿宋_GB2312"/>
                <w:sz w:val="24"/>
                <w:color w:val="000000"/>
              </w:rPr>
              <w:t>(</w:t>
            </w:r>
            <w:r>
              <w:rPr>
                <w:rFonts w:ascii="仿宋_GB2312" w:hAnsi="仿宋_GB2312" w:cs="仿宋_GB2312" w:eastAsia="仿宋_GB2312"/>
                <w:sz w:val="24"/>
                <w:color w:val="000000"/>
              </w:rPr>
              <w:t>与质保金的退还有关</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见《建设工程质量保证金管理暂行办法》</w:t>
            </w:r>
            <w:r>
              <w:rPr>
                <w:rFonts w:ascii="仿宋_GB2312" w:hAnsi="仿宋_GB2312" w:cs="仿宋_GB2312" w:eastAsia="仿宋_GB2312"/>
                <w:sz w:val="24"/>
                <w:color w:val="000000"/>
              </w:rPr>
              <w:t>，</w:t>
            </w:r>
            <w:r>
              <w:rPr>
                <w:rFonts w:ascii="仿宋_GB2312" w:hAnsi="仿宋_GB2312" w:cs="仿宋_GB2312" w:eastAsia="仿宋_GB2312"/>
                <w:sz w:val="24"/>
                <w:color w:val="000000"/>
              </w:rPr>
              <w:t>一般不超过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p>
          <w:p>
            <w:pPr>
              <w:pStyle w:val="null3"/>
              <w:spacing w:before="120"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质量保修期</w:t>
            </w:r>
            <w:r>
              <w:rPr>
                <w:rFonts w:ascii="仿宋_GB2312" w:hAnsi="仿宋_GB2312" w:cs="仿宋_GB2312" w:eastAsia="仿宋_GB2312"/>
                <w:sz w:val="24"/>
                <w:color w:val="000000"/>
              </w:rPr>
              <w:t>(</w:t>
            </w:r>
            <w:r>
              <w:rPr>
                <w:rFonts w:ascii="仿宋_GB2312" w:hAnsi="仿宋_GB2312" w:cs="仿宋_GB2312" w:eastAsia="仿宋_GB2312"/>
                <w:sz w:val="24"/>
                <w:color w:val="000000"/>
              </w:rPr>
              <w:t>与质保金的退还无关</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见《建设工程质量管理条例》。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符合国家、省、市、行业现行标准及采购人要求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3.4.1供应商需要在线提交所有通过电子化交易平台实施的政府采购项目的响应文件，同时，线下递交响应文件纸质版（加盖鲜章），正本壹份、副本贰份，电子文件同上传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潼区西关正街铁一处小区6号楼1单元北侧一楼)。3.4.2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提供具有财务审计资质单位出具的2023年或2024年度的财务审计报告(成立时间不到一年的可提供成立后任意 时段的资产负债表)或响应文件递截止时间前六个月内其基本账户银行出具的资信证明(附基本账户证明)或政府采购信用担保机构出具的磋商担保函。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具有独立承担民事责任的能力，具有法人、事业法人、其他组织的营业执照等证明文件；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供应商具有建筑工程或市政工程施工总承包三级(含三级)以上资质，并具有有效的安全生产许可证；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拟派项目经理须具备建筑工程或市政公用工程专业二级(含二级)以上注册建造师资格，具有有效的安全生产考核合格证书(安B证)，且未担任其他在建工程项目的项目经理声明；</w:t>
            </w:r>
          </w:p>
        </w:tc>
        <w:tc>
          <w:tcPr>
            <w:tcW w:type="dxa" w:w="1661"/>
          </w:tcPr>
          <w:p>
            <w:pPr>
              <w:pStyle w:val="null3"/>
            </w:pPr>
            <w:r>
              <w:rPr>
                <w:rFonts w:ascii="仿宋_GB2312" w:hAnsi="仿宋_GB2312" w:cs="仿宋_GB2312" w:eastAsia="仿宋_GB2312"/>
              </w:rPr>
              <w:t>资格证明材料.docx 项目管理机构.docx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参加政府采购活动前三年内无重大违法记录</w:t>
            </w:r>
          </w:p>
        </w:tc>
        <w:tc>
          <w:tcPr>
            <w:tcW w:type="dxa" w:w="3322"/>
          </w:tcPr>
          <w:p>
            <w:pPr>
              <w:pStyle w:val="null3"/>
            </w:pPr>
            <w:r>
              <w:rPr>
                <w:rFonts w:ascii="仿宋_GB2312" w:hAnsi="仿宋_GB2312" w:cs="仿宋_GB2312" w:eastAsia="仿宋_GB2312"/>
              </w:rPr>
              <w:t>参加政府采购活动前3年内经营活动中无重大违法记录声明；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单位负责人为同一人或者存在控股、管理关系的不同单位不得同时磋商</w:t>
            </w:r>
          </w:p>
        </w:tc>
        <w:tc>
          <w:tcPr>
            <w:tcW w:type="dxa" w:w="3322"/>
          </w:tcPr>
          <w:p>
            <w:pPr>
              <w:pStyle w:val="null3"/>
            </w:pPr>
            <w:r>
              <w:rPr>
                <w:rFonts w:ascii="仿宋_GB2312" w:hAnsi="仿宋_GB2312" w:cs="仿宋_GB2312" w:eastAsia="仿宋_GB2312"/>
              </w:rPr>
              <w:t>提供相关声明；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（1）响应文件的签署盖章：均按磋商文件要求签字、盖章。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已标价工程量清单 中小企业声明函 商务条款响应偏离表.docx 项目管理机构.docx 施工组织设计.docx 供应商承诺书.docx 响应文件封面 残疾人福利性单位声明函 报价函 技术响应偏离表.docx 供应商认为有必要说明的其他问题.docx 标的清单 资格证明材料.docx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 商务条款响应偏离表.docx 响应函 施工组织设计.docx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技术响应偏离表.docx 标的清单 响应函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供应商根据项目施工内容，制定施工方案（包括不限于项目总体设想、重难点分析、分部分项施工实施方案等）： （1）总体施工方案非常合理、条理清晰、计划安排合理有效：7（含）-10 分； （2）总体施工方案合理，可行性较高：4（含）-7分； （3）总体施工方案合理性差，可行性不高：0-4分。未提供不得分。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（1）措施描述完整、可操作性强、细节描述详细计：4（含）-7分； （2）措施有相对的操作性、细节描述较好计：2（含）-4分； （3）内容粗陋简略的计：0-2分；未提供不得分。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（1）安全生产计划全面周到、完整、环节控制保障措施得力：4（含）-7分； （2）安全措施有相对的操作性、细节描述较好计：2（含）-4分； （3）内容粗陋简略的计：0-2分；未提供不得分。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 内容合理、方案具体可行、完全符合要求得4（含）-7分；（2）内容较合理、方案可行性一般，基本符合要求得2（含）-4分；（3）内容不完备、方案可行性差、不能全面符合要求得0-2分；未提供不得分。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 内容合理、方案具体可行、完全符合要求得4（含）-7分；（2）内容较合理、方案可行性一般，基本符合要求得2（含）-4分；（3）内容不完备、方案可行性差、不能全面符合要求得0-2分；未提供不得分。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项目经理部组成人员配置合理（除项目经理外，项目部五大员“安全员、施工员、质量员、材料员、资料员等”须有执业资格证等相关证明材料），组织结构健全，有完善的岗位制度和岗位职责，（1）人员安排合理、分工明确，可操作性强：7（含）-10分； （2）供应商组织结构较为健全，有较为完善的岗位制度和岗位职责，人员安排及分工较为合理，具有一定的操作性：4（含）-7分； （3）供应商组织结构不健全，岗位制度和岗位职责安排简单，操作性较差：0-4分。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施工机械设备和材料投入计划计0-4分。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施工进度网络图或施工进度表，网络图或进度表内容详尽、安排合理且实施性强，计0-2分，未提供不计分。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施工现场部署或总平面布置图</w:t>
            </w:r>
          </w:p>
        </w:tc>
        <w:tc>
          <w:tcPr>
            <w:tcW w:type="dxa" w:w="2492"/>
          </w:tcPr>
          <w:p>
            <w:pPr>
              <w:pStyle w:val="null3"/>
            </w:pPr>
            <w:r>
              <w:rPr>
                <w:rFonts w:ascii="仿宋_GB2312" w:hAnsi="仿宋_GB2312" w:cs="仿宋_GB2312" w:eastAsia="仿宋_GB2312"/>
              </w:rPr>
              <w:t>施工现场部署或总平面布置图： 计划完备，详细、可行性强、布置合理，计0-3分；未提供不计分。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提供相关维修服务及保修承诺，根据其可行性和可信程度计0-4分。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2022年1月1日至今类似业绩(以合同协议书或中标通知书为准)每提供一份得2分，最高得6分；没有提供不得分。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