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版本号：SX-HTZY-20250002-20250522001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穆寨街道基础设施建设项目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SX-HTZY-20250002-</w:t>
      </w:r>
      <w:r>
        <w:br/>
      </w:r>
      <w:r>
        <w:br/>
      </w:r>
      <w:r>
        <w:br/>
      </w:r>
    </w:p>
    <w:p>
      <w:pPr>
        <w:pStyle w:val="null3"/>
        <w:jc w:val="center"/>
        <w:outlineLvl w:val="2"/>
      </w:pPr>
      <w:r>
        <w:rPr>
          <w:rFonts w:ascii="仿宋_GB2312" w:hAnsi="仿宋_GB2312" w:cs="仿宋_GB2312" w:eastAsia="仿宋_GB2312"/>
          <w:sz w:val="28"/>
          <w:b/>
        </w:rPr>
        <w:t>西安市临潼区穆寨街道办事处</w:t>
      </w:r>
    </w:p>
    <w:p>
      <w:pPr>
        <w:pStyle w:val="null3"/>
        <w:jc w:val="center"/>
        <w:outlineLvl w:val="2"/>
      </w:pPr>
      <w:r>
        <w:rPr>
          <w:rFonts w:ascii="仿宋_GB2312" w:hAnsi="仿宋_GB2312" w:cs="仿宋_GB2312" w:eastAsia="仿宋_GB2312"/>
          <w:sz w:val="28"/>
          <w:b/>
        </w:rPr>
        <w:t>陕西恒泰众业项目管理有限公司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陕西恒泰众业项目管理有限公司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西安市临潼区穆寨街道办事处</w:t>
      </w:r>
      <w:r>
        <w:rPr>
          <w:rFonts w:ascii="仿宋_GB2312" w:hAnsi="仿宋_GB2312" w:cs="仿宋_GB2312" w:eastAsia="仿宋_GB2312"/>
        </w:rPr>
        <w:t>委托，拟对</w:t>
      </w:r>
      <w:r>
        <w:rPr>
          <w:rFonts w:ascii="仿宋_GB2312" w:hAnsi="仿宋_GB2312" w:cs="仿宋_GB2312" w:eastAsia="仿宋_GB2312"/>
        </w:rPr>
        <w:t>穆寨街道基础设施建设项目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SX-HTZY-20250002-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穆寨街道基础设施建设项目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道路修复1314平方米，新建混凝土挡墙223.64平方米，排水管道约81米,新修截水沟2处，收水井1座，排水明沟约66米等。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采购包1（穆寨街道基础设施建设项目）：属于专门面向中小企业采购。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1、营业执照：供应商应是合法注册的法人或其他组织,并出具合法有效的营业执照、组织机构代码证、税务登记证（或统一社会信用代码的营业执照）；</w:t>
      </w:r>
    </w:p>
    <w:p>
      <w:pPr>
        <w:pStyle w:val="null3"/>
      </w:pPr>
      <w:r>
        <w:rPr>
          <w:rFonts w:ascii="仿宋_GB2312" w:hAnsi="仿宋_GB2312" w:cs="仿宋_GB2312" w:eastAsia="仿宋_GB2312"/>
        </w:rPr>
        <w:t>2、供应商资质要求：供应商应具备行政主管部门颁发的建筑工程施工总承包三级（含三级）以上资质证书，同时具有合格有效的安全生产许可证；</w:t>
      </w:r>
    </w:p>
    <w:p>
      <w:pPr>
        <w:pStyle w:val="null3"/>
      </w:pPr>
      <w:r>
        <w:rPr>
          <w:rFonts w:ascii="仿宋_GB2312" w:hAnsi="仿宋_GB2312" w:cs="仿宋_GB2312" w:eastAsia="仿宋_GB2312"/>
        </w:rPr>
        <w:t>3、拟派项目经理资质和专业要求：拟派项目经理应具有建筑工程二级及以上注册建造师执业资格，具有有效的安全生产考核合格证书（B 证），在本单位注册且无在建工程（提供无在建项目承诺书)；</w:t>
      </w:r>
    </w:p>
    <w:p>
      <w:pPr>
        <w:pStyle w:val="null3"/>
      </w:pPr>
      <w:r>
        <w:rPr>
          <w:rFonts w:ascii="仿宋_GB2312" w:hAnsi="仿宋_GB2312" w:cs="仿宋_GB2312" w:eastAsia="仿宋_GB2312"/>
        </w:rPr>
        <w:t>4、税收缴纳证明：提供磋商截止日前一年内已缴纳的至少一个月的纳税证明或完税证明，依法免税的单位应提供相关证明材料；</w:t>
      </w:r>
    </w:p>
    <w:p>
      <w:pPr>
        <w:pStyle w:val="null3"/>
      </w:pPr>
      <w:r>
        <w:rPr>
          <w:rFonts w:ascii="仿宋_GB2312" w:hAnsi="仿宋_GB2312" w:cs="仿宋_GB2312" w:eastAsia="仿宋_GB2312"/>
        </w:rPr>
        <w:t>5、社会保障资金缴纳证明：提供磋商截止日前一年内已缴存的至少一个月的社会保障资金缴存单据或社保机构开具的社会保险参保缴费情况证明，依法不需要缴纳社会保障资金的单位应提供相关证明材料；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财务状况报告：提供2023年度或2024年度经审计的财务报告（至少包括审计报告、资产负债表和利润表，成立时间至磋商截止日前不足一年的可提供成立后任意时段的资产负债表）；或在磋商截止日前六个月内其开户银行出具的资信证明；</w:t>
      </w:r>
    </w:p>
    <w:p>
      <w:pPr>
        <w:pStyle w:val="null3"/>
      </w:pPr>
      <w:r>
        <w:rPr>
          <w:rFonts w:ascii="仿宋_GB2312" w:hAnsi="仿宋_GB2312" w:cs="仿宋_GB2312" w:eastAsia="仿宋_GB2312"/>
        </w:rPr>
        <w:t>7、履约承诺：提供具有履行本合同所必需的设备和专业技术能力的说明及承诺；</w:t>
      </w:r>
    </w:p>
    <w:p>
      <w:pPr>
        <w:pStyle w:val="null3"/>
      </w:pPr>
      <w:r>
        <w:rPr>
          <w:rFonts w:ascii="仿宋_GB2312" w:hAnsi="仿宋_GB2312" w:cs="仿宋_GB2312" w:eastAsia="仿宋_GB2312"/>
        </w:rPr>
        <w:t>8、无重大违法记录的书面声明：提供参加政府采购活动前三年内在经营活动中没有重大违法记录的书面声明；</w:t>
      </w:r>
    </w:p>
    <w:p>
      <w:pPr>
        <w:pStyle w:val="null3"/>
      </w:pPr>
      <w:r>
        <w:rPr>
          <w:rFonts w:ascii="仿宋_GB2312" w:hAnsi="仿宋_GB2312" w:cs="仿宋_GB2312" w:eastAsia="仿宋_GB2312"/>
        </w:rPr>
        <w:t>9、法定代表人授权书：提供法定代表人授权书（附法定代表人、被授权人身份证复印件），法定代表人直接参加磋商，须提供法定代表人身份证明；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10、信用查询：供应商未被“信用中国”网站（www.creditchina.gov.cn）列入失信被执行人和重大税收违法失信主体，未被中国政府采购网（www.ccgp.gov.cn）列入政府采购严重违法失信行为记录名单；</w:t>
      </w:r>
    </w:p>
    <w:p>
      <w:pPr>
        <w:pStyle w:val="null3"/>
      </w:pPr>
      <w:r>
        <w:rPr>
          <w:rFonts w:ascii="仿宋_GB2312" w:hAnsi="仿宋_GB2312" w:cs="仿宋_GB2312" w:eastAsia="仿宋_GB2312"/>
        </w:rPr>
        <w:t>11、联合体：本项目不接受联合体投标。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西安市临潼区穆寨街道办事处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临潼区穆寨街道1号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029-83845003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陕西恒泰众业项目管理有限公司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陕西省西安市临潼区东风商务楼五楼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029-83855569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采购包1：799,000.00元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招标代理服务收费管理暂行办法的通知》（计价格〔2002〕1980号）和国家发改委办公厅《关于招标代理服务收费有关问题的通知》（发改办价格〔2003〕857号）文件规定标准收取。由中标供应商一次性全额支付招标代理服务费。 户名：陕西恒泰众业项目管理有限公司 开户银行：中国银行股份有限公司陕西自贸试验区杨凌片区支行 账户号码：102096134814 请中标供应商按照要求将服务费汇入以上指定账户，如因自身原因发生错误，产生的不利后果均由供应商自行承担。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西安市临潼区穆寨街道办事处</w:t>
      </w:r>
      <w:r>
        <w:rPr>
          <w:rFonts w:ascii="仿宋_GB2312" w:hAnsi="仿宋_GB2312" w:cs="仿宋_GB2312" w:eastAsia="仿宋_GB2312"/>
        </w:rPr>
        <w:t>和</w:t>
      </w:r>
      <w:r>
        <w:rPr>
          <w:rFonts w:ascii="仿宋_GB2312" w:hAnsi="仿宋_GB2312" w:cs="仿宋_GB2312" w:eastAsia="仿宋_GB2312"/>
        </w:rPr>
        <w:t>陕西恒泰众业项目管理有限公司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西安市临潼区穆寨街道办事处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陕西恒泰众业项目管理有限公司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西安市临潼区穆寨街道办事处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陕西恒泰众业项目管理有限公司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陕西恒泰众业项目管理有限公司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陕西恒泰众业项目管理有限公司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陕西恒泰众业项目管理有限公司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联系人：邓工</w:t>
      </w:r>
    </w:p>
    <w:p>
      <w:pPr>
        <w:pStyle w:val="null3"/>
      </w:pPr>
      <w:r>
        <w:rPr>
          <w:rFonts w:ascii="仿宋_GB2312" w:hAnsi="仿宋_GB2312" w:cs="仿宋_GB2312" w:eastAsia="仿宋_GB2312"/>
        </w:rPr>
        <w:t>联系电话：029-83855569</w:t>
      </w:r>
    </w:p>
    <w:p>
      <w:pPr>
        <w:pStyle w:val="null3"/>
      </w:pPr>
      <w:r>
        <w:rPr>
          <w:rFonts w:ascii="仿宋_GB2312" w:hAnsi="仿宋_GB2312" w:cs="仿宋_GB2312" w:eastAsia="仿宋_GB2312"/>
        </w:rPr>
        <w:t>地址：陕西省西安市临潼区东风商务楼五楼</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799,000.00</w:t>
      </w:r>
    </w:p>
    <w:p>
      <w:pPr>
        <w:pStyle w:val="null3"/>
      </w:pPr>
      <w:r>
        <w:rPr>
          <w:rFonts w:ascii="仿宋_GB2312" w:hAnsi="仿宋_GB2312" w:cs="仿宋_GB2312" w:eastAsia="仿宋_GB2312"/>
        </w:rPr>
        <w:t>采购包最高限价（元）: 799,000.00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穆寨街道基础设施建设项目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799,000.00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标的名称：穆寨街道基础设施建设项目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333333"/>
                <w:shd w:fill="FFFFFF" w:val="clear"/>
              </w:rPr>
              <w:t>道路修复</w:t>
            </w:r>
            <w:r>
              <w:rPr>
                <w:rFonts w:ascii="仿宋_GB2312" w:hAnsi="仿宋_GB2312" w:cs="仿宋_GB2312" w:eastAsia="仿宋_GB2312"/>
                <w:sz w:val="24"/>
                <w:color w:val="333333"/>
                <w:shd w:fill="FFFFFF" w:val="clear"/>
              </w:rPr>
              <w:t>1314平方米，新建混凝土挡墙223.64平方米，排水管道约81米,新修截水沟2处，收水井1座，排水明沟约66米等。</w:t>
            </w:r>
            <w:r>
              <w:rPr>
                <w:rFonts w:ascii="仿宋_GB2312" w:hAnsi="仿宋_GB2312" w:cs="仿宋_GB2312" w:eastAsia="仿宋_GB2312"/>
                <w:sz w:val="24"/>
                <w:color w:val="333333"/>
                <w:shd w:fill="FFFFFF" w:val="clear"/>
              </w:rPr>
              <w:t>（具体详见电子招标书）</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工期：自合同签订之日起60日历天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供应商认为有必要说明的其他问题.docx 响应函 供应商承诺书.docx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至少包括审计报告、资产负债表和利润表，成立时间至磋商截止日前不足一年的可提供成立后任意时段的资产负债表）；或在磋商截止日前六个月内其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供应商认为有必要说明的其他问题.docx 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供应商应是合法注册的法人或其他组织,并出具合法有效的营业执照、组织机构代码证、税务登记证（或统一社会信用代码的营业执照）；</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供应商应具备行政主管部门颁发的建筑工程施工总承包三级（含三级）以上资质证书，同时具有合格有效的安全生产许可证；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拟派项目经理应具有建筑工程二级及以上注册建造师执业资格，具有有效的安全生产考核合格证书（B 证），在本单位注册且无在建工程（提供无在建项目承诺书)；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至少包括审计报告、资产负债表和利润表，成立时间至磋商截止日前不足一年的可提供成立后任意时段的资产负债表）；或在磋商截止日前六个月内其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磋商响应文件上法定代表人或其授权代表人的签字齐全，要求加盖单位公章处加盖公章。</w:t>
            </w:r>
          </w:p>
        </w:tc>
        <w:tc>
          <w:tcPr>
            <w:tcW w:type="dxa" w:w="1661"/>
          </w:tcPr>
          <w:p>
            <w:pPr>
              <w:pStyle w:val="null3"/>
            </w:pPr>
            <w:r>
              <w:rPr>
                <w:rFonts w:ascii="仿宋_GB2312" w:hAnsi="仿宋_GB2312" w:cs="仿宋_GB2312" w:eastAsia="仿宋_GB2312"/>
              </w:rPr>
              <w:t>已标价工程量清单 中小企业声明函 资格证明文件.docx 施工组织设计.docx 供应商承诺书.docx 响应文件封面 项目管理机构组成表 残疾人福利性单位声明函 供应商认为有必要说明的其他问题.docx 供应商类似项目业绩一览表 响应函 主要人员简历表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应满足磋商文件中对工期的要求。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合理、可行、准确、完善、可操作性强，保证措施可靠计0-12分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全面、完整、周到、组织措施得力计0-6分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安全生产计划全面周到、完善、环节控制保障措施得力计0-6分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全面、完善、周到、环节控制保障措施得力计0-6分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合理、可行、准确、完整、可操作性强，保证措施可靠计0-6分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项目经理部组成人员</w:t>
            </w:r>
          </w:p>
        </w:tc>
        <w:tc>
          <w:tcPr>
            <w:tcW w:type="dxa" w:w="2492"/>
          </w:tcPr>
          <w:p>
            <w:pPr>
              <w:pStyle w:val="null3"/>
            </w:pPr>
            <w:r>
              <w:rPr>
                <w:rFonts w:ascii="仿宋_GB2312" w:hAnsi="仿宋_GB2312" w:cs="仿宋_GB2312" w:eastAsia="仿宋_GB2312"/>
              </w:rPr>
              <w:t>提供完善、合理、专业的团队人员，根据供应商提供人员的有效证件、业绩等证明材料计0-6分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拟投入的主要机具、设备充分、满足项目需要计0-6分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拟投入劳动力充分、满足项目需要计0-6分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提供2022年5月至今承接过类似的项目业绩，每提供一份得2分，最高得10分；没有提供不得分。（业绩需提供项目中标通知书或施工合同盖章复印件）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根据供应商为保证工程质量所做的承诺及配套服务（包括但不限于具体的服务内容、响应时间、响应方式、响应计划、服务承诺等）进行综合比较计0-6分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磋商报价得分=(磋商基准价／磋商报价)×30%×100 计算分数时四舍五入取小数点后两位 注：因落实政府采购政策进行价格调整的，以调整后的价格计算评标基准价和磋商报价。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