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版本号：0617--25A2FZ063420250522001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西安临潼区防返贫监测预警平台服务购买项目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0617--25A2FZ0634</w:t>
      </w:r>
      <w:r>
        <w:br/>
      </w:r>
      <w:r>
        <w:br/>
      </w:r>
      <w:r>
        <w:br/>
      </w:r>
    </w:p>
    <w:p>
      <w:pPr>
        <w:pStyle w:val="null3"/>
        <w:jc w:val="center"/>
        <w:outlineLvl w:val="5"/>
      </w:pPr>
      <w:r>
        <w:rPr>
          <w:rFonts w:ascii="仿宋_GB2312" w:hAnsi="仿宋_GB2312" w:cs="仿宋_GB2312" w:eastAsia="仿宋_GB2312"/>
          <w:sz w:val="15"/>
          <w:b/>
        </w:rPr>
        <w:t>西安市临潼区扶贫信息监测中心</w:t>
      </w:r>
    </w:p>
    <w:p>
      <w:pPr>
        <w:pStyle w:val="null3"/>
        <w:jc w:val="center"/>
        <w:outlineLvl w:val="5"/>
      </w:pPr>
      <w:r>
        <w:rPr>
          <w:rFonts w:ascii="仿宋_GB2312" w:hAnsi="仿宋_GB2312" w:cs="仿宋_GB2312" w:eastAsia="仿宋_GB2312"/>
          <w:sz w:val="15"/>
          <w:b/>
        </w:rPr>
        <w:t>西北(陕西)国际招标有限公司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西安市临潼区扶贫信息监测中心</w:t>
      </w:r>
      <w:r>
        <w:rPr>
          <w:rFonts w:ascii="仿宋_GB2312" w:hAnsi="仿宋_GB2312" w:cs="仿宋_GB2312" w:eastAsia="仿宋_GB2312"/>
        </w:rPr>
        <w:t>委托，拟对</w:t>
      </w:r>
      <w:r>
        <w:rPr>
          <w:rFonts w:ascii="仿宋_GB2312" w:hAnsi="仿宋_GB2312" w:cs="仿宋_GB2312" w:eastAsia="仿宋_GB2312"/>
        </w:rPr>
        <w:t>西安临潼区防返贫监测预警平台服务购买项目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0617--25A2FZ0634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西安临潼区防返贫监测预警平台服务购买项目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选取一家专业机构建设、运营和维护防返贫监测预警平台，纵向贯穿省、市、县、乡、村五级机关，横向覆盖乡村振兴部门、相关行业部门和社会公众；利用互联网实现各级巩固衔接数据信息互联互通；建立防返贫监测预警平台信息化管理系统，实现帮扶对象动态管理、防返贫措施合理配置、帮扶过程监测监督、防返贫成效跟踪分析、帮扶结果反馈的工作闭环机制；构建防返贫宏观决策数据库，并进行深度分析，为相关政府部门提供信息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西安市临潼区扶贫信息监测中心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西安市临潼区健康北路50号房管所一楼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02983811778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西安市南二环西段58号成长大厦11-14层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秦进、贾楠希、杨鑫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代理服务费收费标准：采购代理服务费的金额以成交金额为基数参照原《国家计委关于印发&lt;招标代理服务收费管理暂行办法&gt;的通知》（计价格【2002】1980号）执行。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西安市临潼区扶贫信息监测中心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西安市临潼区扶贫信息监测中心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具体内容详见本项目合同附件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选取一家专业机构建设、运营和维护防返贫监测预警平台，纵向贯穿省、市、县、乡、村五级机关，横向覆盖乡村振兴部门、相关行业部门和社会公众；利用互联网实现各级巩固衔接数据信息互联互通；建立防返贫监测预警平台信息化管理系统，实现帮扶对象动态管理、防返贫措施合理配置、帮扶过程监测监督、防返贫成效跟踪分析、帮扶结果反馈的工作闭环机制；构建防返贫宏观决策数据库，并进行深度分析，为相关政府部门提供信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西安临潼区防返贫监测预警平台服务购买项目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标的名称：西安临潼区防返贫监测预警平台服务购买项目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35" w:firstLine="560"/>
              <w:jc w:val="left"/>
            </w:pPr>
            <w:r>
              <w:rPr>
                <w:rFonts w:ascii="仿宋_GB2312" w:hAnsi="仿宋_GB2312" w:cs="仿宋_GB2312" w:eastAsia="仿宋_GB2312"/>
                <w:sz w:val="28"/>
              </w:rPr>
              <w:t>一、项目名称</w:t>
            </w:r>
          </w:p>
          <w:p>
            <w:pPr>
              <w:pStyle w:val="null3"/>
              <w:ind w:left="-135" w:firstLine="1024"/>
              <w:jc w:val="left"/>
            </w:pPr>
            <w:r>
              <w:rPr>
                <w:rFonts w:ascii="仿宋_GB2312" w:hAnsi="仿宋_GB2312" w:cs="仿宋_GB2312" w:eastAsia="仿宋_GB2312"/>
                <w:sz w:val="28"/>
                <w:shd w:fill="C0C0C0" w:val="clear"/>
              </w:rPr>
              <w:t>西安</w:t>
            </w:r>
            <w:r>
              <w:rPr>
                <w:rFonts w:ascii="仿宋_GB2312" w:hAnsi="仿宋_GB2312" w:cs="仿宋_GB2312" w:eastAsia="仿宋_GB2312"/>
                <w:sz w:val="28"/>
                <w:shd w:fill="C0C0C0" w:val="clear"/>
              </w:rPr>
              <w:t>临潼</w:t>
            </w:r>
            <w:r>
              <w:rPr>
                <w:rFonts w:ascii="仿宋_GB2312" w:hAnsi="仿宋_GB2312" w:cs="仿宋_GB2312" w:eastAsia="仿宋_GB2312"/>
                <w:sz w:val="28"/>
                <w:shd w:fill="C0C0C0" w:val="clear"/>
              </w:rPr>
              <w:t>区</w:t>
            </w:r>
            <w:r>
              <w:rPr>
                <w:rFonts w:ascii="仿宋_GB2312" w:hAnsi="仿宋_GB2312" w:cs="仿宋_GB2312" w:eastAsia="仿宋_GB2312"/>
                <w:sz w:val="28"/>
              </w:rPr>
              <w:t>防返贫监测预警平台服务购买项目</w:t>
            </w:r>
          </w:p>
          <w:p>
            <w:pPr>
              <w:pStyle w:val="null3"/>
              <w:ind w:left="-135" w:firstLine="560"/>
              <w:jc w:val="left"/>
            </w:pPr>
            <w:r>
              <w:rPr>
                <w:rFonts w:ascii="仿宋_GB2312" w:hAnsi="仿宋_GB2312" w:cs="仿宋_GB2312" w:eastAsia="仿宋_GB2312"/>
                <w:sz w:val="28"/>
              </w:rPr>
              <w:t>二、</w:t>
            </w:r>
            <w:r>
              <w:rPr>
                <w:rFonts w:ascii="仿宋_GB2312" w:hAnsi="仿宋_GB2312" w:cs="仿宋_GB2312" w:eastAsia="仿宋_GB2312"/>
                <w:sz w:val="28"/>
              </w:rPr>
              <w:t>采购内容</w:t>
            </w:r>
          </w:p>
          <w:p>
            <w:pPr>
              <w:pStyle w:val="null3"/>
              <w:ind w:left="-135" w:firstLine="560"/>
              <w:jc w:val="left"/>
            </w:pPr>
            <w:r>
              <w:rPr>
                <w:rFonts w:ascii="仿宋_GB2312" w:hAnsi="仿宋_GB2312" w:cs="仿宋_GB2312" w:eastAsia="仿宋_GB2312"/>
                <w:sz w:val="28"/>
              </w:rPr>
              <w:t>选取一家专业机构建设、运营和维护</w:t>
            </w:r>
            <w:r>
              <w:rPr>
                <w:rFonts w:ascii="仿宋_GB2312" w:hAnsi="仿宋_GB2312" w:cs="仿宋_GB2312" w:eastAsia="仿宋_GB2312"/>
                <w:sz w:val="28"/>
              </w:rPr>
              <w:t>防返贫监测预警平台，纵向贯穿省、市、县、乡、村五级机关，横向覆盖</w:t>
            </w:r>
            <w:r>
              <w:rPr>
                <w:rFonts w:ascii="仿宋_GB2312" w:hAnsi="仿宋_GB2312" w:cs="仿宋_GB2312" w:eastAsia="仿宋_GB2312"/>
                <w:sz w:val="28"/>
              </w:rPr>
              <w:t>乡村振兴</w:t>
            </w:r>
            <w:r>
              <w:rPr>
                <w:rFonts w:ascii="仿宋_GB2312" w:hAnsi="仿宋_GB2312" w:cs="仿宋_GB2312" w:eastAsia="仿宋_GB2312"/>
                <w:sz w:val="28"/>
              </w:rPr>
              <w:t>部门、相关行业部门和社会公众；利用互联网实现各级</w:t>
            </w:r>
            <w:r>
              <w:rPr>
                <w:rFonts w:ascii="仿宋_GB2312" w:hAnsi="仿宋_GB2312" w:cs="仿宋_GB2312" w:eastAsia="仿宋_GB2312"/>
                <w:sz w:val="28"/>
              </w:rPr>
              <w:t>巩固衔接数据信息</w:t>
            </w:r>
            <w:r>
              <w:rPr>
                <w:rFonts w:ascii="仿宋_GB2312" w:hAnsi="仿宋_GB2312" w:cs="仿宋_GB2312" w:eastAsia="仿宋_GB2312"/>
                <w:sz w:val="28"/>
              </w:rPr>
              <w:t>互联互通；建立防返贫监测预警平台信息化管理系统，实现帮扶对象动态管理、防返贫措施合理配置、帮扶过程监测监督、防返贫成效跟踪分析、帮扶结果反馈的工作闭环机制；构建防返贫宏观决策数据库，并进行深度分析，为相关政府部门提供信息服务。</w:t>
            </w:r>
          </w:p>
          <w:p>
            <w:pPr>
              <w:pStyle w:val="null3"/>
              <w:ind w:left="-135" w:firstLine="560"/>
              <w:jc w:val="left"/>
            </w:pPr>
            <w:r>
              <w:rPr>
                <w:rFonts w:ascii="仿宋_GB2312" w:hAnsi="仿宋_GB2312" w:cs="仿宋_GB2312" w:eastAsia="仿宋_GB2312"/>
                <w:sz w:val="28"/>
              </w:rPr>
              <w:t>三、</w:t>
            </w:r>
            <w:r>
              <w:rPr>
                <w:rFonts w:ascii="仿宋_GB2312" w:hAnsi="仿宋_GB2312" w:cs="仿宋_GB2312" w:eastAsia="仿宋_GB2312"/>
                <w:sz w:val="28"/>
              </w:rPr>
              <w:t>服务内容</w:t>
            </w:r>
          </w:p>
          <w:p>
            <w:pPr>
              <w:pStyle w:val="null3"/>
              <w:ind w:left="-135" w:firstLine="560"/>
              <w:jc w:val="left"/>
            </w:pPr>
            <w:r>
              <w:rPr>
                <w:rFonts w:ascii="仿宋_GB2312" w:hAnsi="仿宋_GB2312" w:cs="仿宋_GB2312" w:eastAsia="仿宋_GB2312"/>
                <w:sz w:val="28"/>
              </w:rPr>
              <w:t>防返贫监测预警平台包括：数据中心、决策分析、防返贫预警、问题整改、统计分析、项目管理、系统管理</w:t>
            </w:r>
            <w:r>
              <w:rPr>
                <w:rFonts w:ascii="仿宋_GB2312" w:hAnsi="仿宋_GB2312" w:cs="仿宋_GB2312" w:eastAsia="仿宋_GB2312"/>
                <w:sz w:val="28"/>
              </w:rPr>
              <w:t>七</w:t>
            </w:r>
            <w:r>
              <w:rPr>
                <w:rFonts w:ascii="仿宋_GB2312" w:hAnsi="仿宋_GB2312" w:cs="仿宋_GB2312" w:eastAsia="仿宋_GB2312"/>
                <w:sz w:val="28"/>
              </w:rPr>
              <w:t>大业务子系统。</w:t>
            </w:r>
          </w:p>
          <w:p>
            <w:pPr>
              <w:pStyle w:val="null3"/>
              <w:ind w:left="-135" w:firstLine="560"/>
              <w:jc w:val="left"/>
            </w:pPr>
            <w:r>
              <w:rPr>
                <w:rFonts w:ascii="仿宋_GB2312" w:hAnsi="仿宋_GB2312" w:cs="仿宋_GB2312" w:eastAsia="仿宋_GB2312"/>
                <w:sz w:val="28"/>
              </w:rPr>
              <w:t>3.1技术要求</w:t>
            </w:r>
          </w:p>
          <w:tbl>
            <w:tblPr>
              <w:tblInd w:type="dxa" w:w="135"/>
              <w:tblBorders>
                <w:top w:val="none" w:color="000000" w:sz="4"/>
                <w:left w:val="none" w:color="000000" w:sz="4"/>
                <w:bottom w:val="none" w:color="000000" w:sz="4"/>
                <w:right w:val="none" w:color="000000" w:sz="4"/>
                <w:insideH w:val="none"/>
                <w:insideV w:val="none"/>
              </w:tblBorders>
            </w:tblPr>
            <w:tblGrid>
              <w:gridCol w:w="208"/>
              <w:gridCol w:w="226"/>
              <w:gridCol w:w="393"/>
              <w:gridCol w:w="1580"/>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序号</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分项</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规格</w:t>
                  </w:r>
                  <w:r>
                    <w:rPr>
                      <w:rFonts w:ascii="仿宋_GB2312" w:hAnsi="仿宋_GB2312" w:cs="仿宋_GB2312" w:eastAsia="仿宋_GB2312"/>
                      <w:sz w:val="28"/>
                    </w:rPr>
                    <w:t>/型号</w:t>
                  </w:r>
                </w:p>
              </w:tc>
              <w:tc>
                <w:tcPr>
                  <w:tcW w:type="dxa" w:w="1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功</w:t>
                  </w:r>
                  <w:r>
                    <w:rPr>
                      <w:rFonts w:ascii="仿宋_GB2312" w:hAnsi="仿宋_GB2312" w:cs="仿宋_GB2312" w:eastAsia="仿宋_GB2312"/>
                      <w:sz w:val="28"/>
                    </w:rPr>
                    <w:t xml:space="preserve">   </w:t>
                  </w:r>
                  <w:r>
                    <w:rPr>
                      <w:rFonts w:ascii="仿宋_GB2312" w:hAnsi="仿宋_GB2312" w:cs="仿宋_GB2312" w:eastAsia="仿宋_GB2312"/>
                      <w:sz w:val="28"/>
                    </w:rPr>
                    <w:t>能</w:t>
                  </w:r>
                  <w:r>
                    <w:rPr>
                      <w:rFonts w:ascii="仿宋_GB2312" w:hAnsi="仿宋_GB2312" w:cs="仿宋_GB2312" w:eastAsia="仿宋_GB2312"/>
                      <w:sz w:val="28"/>
                    </w:rPr>
                    <w:t xml:space="preserve">  </w:t>
                  </w:r>
                  <w:r>
                    <w:rPr>
                      <w:rFonts w:ascii="仿宋_GB2312" w:hAnsi="仿宋_GB2312" w:cs="仿宋_GB2312" w:eastAsia="仿宋_GB2312"/>
                      <w:sz w:val="28"/>
                    </w:rPr>
                    <w:t>描</w:t>
                  </w:r>
                  <w:r>
                    <w:rPr>
                      <w:rFonts w:ascii="仿宋_GB2312" w:hAnsi="仿宋_GB2312" w:cs="仿宋_GB2312" w:eastAsia="仿宋_GB2312"/>
                      <w:sz w:val="28"/>
                    </w:rPr>
                    <w:t xml:space="preserve">   </w:t>
                  </w:r>
                  <w:r>
                    <w:rPr>
                      <w:rFonts w:ascii="仿宋_GB2312" w:hAnsi="仿宋_GB2312" w:cs="仿宋_GB2312" w:eastAsia="仿宋_GB2312"/>
                      <w:sz w:val="28"/>
                    </w:rPr>
                    <w:t>述</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1</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数</w:t>
                  </w:r>
                </w:p>
                <w:p>
                  <w:pPr>
                    <w:pStyle w:val="null3"/>
                    <w:jc w:val="both"/>
                  </w:pPr>
                  <w:r>
                    <w:rPr>
                      <w:rFonts w:ascii="仿宋_GB2312" w:hAnsi="仿宋_GB2312" w:cs="仿宋_GB2312" w:eastAsia="仿宋_GB2312"/>
                      <w:sz w:val="28"/>
                    </w:rPr>
                    <w:t>据</w:t>
                  </w:r>
                </w:p>
                <w:p>
                  <w:pPr>
                    <w:pStyle w:val="null3"/>
                    <w:jc w:val="both"/>
                  </w:pPr>
                  <w:r>
                    <w:rPr>
                      <w:rFonts w:ascii="仿宋_GB2312" w:hAnsi="仿宋_GB2312" w:cs="仿宋_GB2312" w:eastAsia="仿宋_GB2312"/>
                      <w:sz w:val="28"/>
                    </w:rPr>
                    <w:t>中</w:t>
                  </w:r>
                </w:p>
                <w:p>
                  <w:pPr>
                    <w:pStyle w:val="null3"/>
                    <w:jc w:val="both"/>
                  </w:pPr>
                  <w:r>
                    <w:rPr>
                      <w:rFonts w:ascii="仿宋_GB2312" w:hAnsi="仿宋_GB2312" w:cs="仿宋_GB2312" w:eastAsia="仿宋_GB2312"/>
                      <w:sz w:val="28"/>
                    </w:rPr>
                    <w:t>心</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户情</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“户情”数据查询管理服务，数据内容包括但不限于辖区内农户基础信息、家庭劳动力与务工情况、家庭健康情况、教育情况、家庭成员、生产生活条件、收支监测、户厕信息等</w:t>
                  </w:r>
                  <w:r>
                    <w:rPr>
                      <w:rFonts w:ascii="仿宋_GB2312" w:hAnsi="仿宋_GB2312" w:cs="仿宋_GB2312" w:eastAsia="仿宋_GB2312"/>
                      <w:sz w:val="28"/>
                    </w:rPr>
                    <w:t>。</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村情</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“村情”数据查询管理服务，数据内容包括但不限于辖区内行政村人口信息、发展现状、生产条件、村情简介、村规民约、产业资源、村需求、乡村工作队列表和村务公开等</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镇情</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“镇情”数据查询管理服务，数据内容包括但不限于辖区内各镇人口信息、生产生活条件、发展现状和镇情简介等</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县情</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“县情”数据查询管理服务，数据内容包括但不限于辖区内人口信息、生产条件、县情简介、生产总值和重点工作等</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2</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决</w:t>
                  </w:r>
                </w:p>
                <w:p>
                  <w:pPr>
                    <w:pStyle w:val="null3"/>
                    <w:jc w:val="both"/>
                  </w:pPr>
                  <w:r>
                    <w:rPr>
                      <w:rFonts w:ascii="仿宋_GB2312" w:hAnsi="仿宋_GB2312" w:cs="仿宋_GB2312" w:eastAsia="仿宋_GB2312"/>
                      <w:sz w:val="28"/>
                    </w:rPr>
                    <w:t>策</w:t>
                  </w:r>
                </w:p>
                <w:p>
                  <w:pPr>
                    <w:pStyle w:val="null3"/>
                    <w:jc w:val="both"/>
                  </w:pP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析</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巩固成果</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“巩固成果”功能服务，对宏观数据进行可视化展示。主要包括从基础数据、风险监测、收入监测、帮扶措施、外出务工、网格管理和采集进度7个维度进行宏观数据展示</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数字地图</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“数字地图”功能服务，按照不同农户类型结合行政区划地图，通过数图联动的形式展示区域性相关信息，可通过矢量图或卫星图的方式查询指定区划的农户分布信息</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3</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防</w:t>
                  </w:r>
                </w:p>
                <w:p>
                  <w:pPr>
                    <w:pStyle w:val="null3"/>
                    <w:jc w:val="both"/>
                  </w:pPr>
                  <w:r>
                    <w:rPr>
                      <w:rFonts w:ascii="仿宋_GB2312" w:hAnsi="仿宋_GB2312" w:cs="仿宋_GB2312" w:eastAsia="仿宋_GB2312"/>
                      <w:sz w:val="28"/>
                    </w:rPr>
                    <w:t>返</w:t>
                  </w:r>
                </w:p>
                <w:p>
                  <w:pPr>
                    <w:pStyle w:val="null3"/>
                    <w:jc w:val="both"/>
                  </w:pPr>
                  <w:r>
                    <w:rPr>
                      <w:rFonts w:ascii="仿宋_GB2312" w:hAnsi="仿宋_GB2312" w:cs="仿宋_GB2312" w:eastAsia="仿宋_GB2312"/>
                      <w:sz w:val="28"/>
                    </w:rPr>
                    <w:t>贫</w:t>
                  </w:r>
                </w:p>
                <w:p>
                  <w:pPr>
                    <w:pStyle w:val="null3"/>
                    <w:jc w:val="both"/>
                  </w:pPr>
                  <w:r>
                    <w:rPr>
                      <w:rFonts w:ascii="仿宋_GB2312" w:hAnsi="仿宋_GB2312" w:cs="仿宋_GB2312" w:eastAsia="仿宋_GB2312"/>
                      <w:sz w:val="28"/>
                    </w:rPr>
                    <w:t>预</w:t>
                  </w:r>
                </w:p>
                <w:p>
                  <w:pPr>
                    <w:pStyle w:val="null3"/>
                    <w:jc w:val="both"/>
                  </w:pPr>
                  <w:r>
                    <w:rPr>
                      <w:rFonts w:ascii="仿宋_GB2312" w:hAnsi="仿宋_GB2312" w:cs="仿宋_GB2312" w:eastAsia="仿宋_GB2312"/>
                      <w:sz w:val="28"/>
                    </w:rPr>
                    <w:t>警</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风险研判</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“风险研判”功能服务，对不同渠道获取的风险信息进行信息化管理</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工单管理</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“工单管理”功能服务，对风险信息以工单的形式进行流程跟踪</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网格管理</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“网格管理”功能服务，推行网格化管理，确定网格管理范围，全面落实监测帮扶责任，对网格员进行管理</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驻村帮扶</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“驻村帮扶”功能服务，管理驻村力量，落实四不摘政策</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随机抽查</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“随机抽查”功能服务，随机进行户抽查、村抽查、县抽查，实现全区覆盖</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4</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问题</w:t>
                  </w:r>
                </w:p>
                <w:p>
                  <w:pPr>
                    <w:pStyle w:val="null3"/>
                    <w:jc w:val="left"/>
                  </w:pPr>
                  <w:r>
                    <w:rPr>
                      <w:rFonts w:ascii="仿宋_GB2312" w:hAnsi="仿宋_GB2312" w:cs="仿宋_GB2312" w:eastAsia="仿宋_GB2312"/>
                      <w:sz w:val="28"/>
                    </w:rPr>
                    <w:t>整改</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督查巡查</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建设问题整改数据库，将各级各类反馈问题纳入数据库，实行清单式管理，及时督查督办。</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5</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统计分析</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统计分析</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为用户提供</w:t>
                  </w:r>
                  <w:r>
                    <w:rPr>
                      <w:rFonts w:ascii="仿宋_GB2312" w:hAnsi="仿宋_GB2312" w:cs="仿宋_GB2312" w:eastAsia="仿宋_GB2312"/>
                      <w:sz w:val="28"/>
                    </w:rPr>
                    <w:t>“统计分析”功能服务，协助用户进行防返贫预警监测工作的全流程动态化管理，具体子功能包括周统计（分片区统计、动态调整统计、风险消除统计、工作推进统计）、农户采集汇总、农户采集进度和灾情统计等</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6</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项目管理</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资金管理</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资金到账查询、下拨查询、汇总查询；</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项目管理</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项目统计、实施项目、项目总投资、项目总计；</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firstLine="560"/>
                    <w:jc w:val="both"/>
                  </w:pPr>
                  <w:r>
                    <w:rPr>
                      <w:rFonts w:ascii="仿宋_GB2312" w:hAnsi="仿宋_GB2312" w:cs="仿宋_GB2312" w:eastAsia="仿宋_GB2312"/>
                      <w:sz w:val="28"/>
                    </w:rPr>
                    <w:t>7</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系统管理</w:t>
                  </w:r>
                </w:p>
                <w:p>
                  <w:pPr>
                    <w:pStyle w:val="null3"/>
                    <w:jc w:val="left"/>
                  </w:p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系统管理</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用户使用问题收集管理、反馈英雄榜；</w:t>
                  </w:r>
                </w:p>
              </w:tc>
            </w:tr>
            <w:tr>
              <w:tc>
                <w:tcPr>
                  <w:tcW w:type="dxa" w:w="208"/>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信息维护</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定期更新与维护，使其保持正常状态，保证信息的准确、及时、安全和保密</w:t>
                  </w:r>
                </w:p>
              </w:tc>
            </w:tr>
            <w:tr>
              <w:tc>
                <w:tcPr>
                  <w:tcW w:type="dxa" w:w="240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技术要求技术网络传输</w:t>
                  </w:r>
                  <w:r>
                    <w:rPr>
                      <w:rFonts w:ascii="仿宋_GB2312" w:hAnsi="仿宋_GB2312" w:cs="仿宋_GB2312" w:eastAsia="仿宋_GB2312"/>
                      <w:sz w:val="28"/>
                    </w:rPr>
                    <w:t>20M区间数字电路</w:t>
                  </w:r>
                </w:p>
              </w:tc>
            </w:tr>
          </w:tbl>
          <w:p>
            <w:pPr>
              <w:pStyle w:val="null3"/>
              <w:ind w:left="-135" w:firstLine="560"/>
              <w:jc w:val="left"/>
            </w:pPr>
            <w:r>
              <w:rPr>
                <w:rFonts w:ascii="仿宋_GB2312" w:hAnsi="仿宋_GB2312" w:cs="仿宋_GB2312" w:eastAsia="仿宋_GB2312"/>
                <w:sz w:val="28"/>
              </w:rPr>
              <w:t>四、项目实施要求</w:t>
            </w:r>
          </w:p>
          <w:p>
            <w:pPr>
              <w:pStyle w:val="null3"/>
              <w:ind w:left="-135"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本平台通过对</w:t>
            </w:r>
            <w:r>
              <w:rPr>
                <w:rFonts w:ascii="仿宋_GB2312" w:hAnsi="仿宋_GB2312" w:cs="仿宋_GB2312" w:eastAsia="仿宋_GB2312"/>
                <w:sz w:val="28"/>
              </w:rPr>
              <w:t>七大模块</w:t>
            </w:r>
            <w:r>
              <w:rPr>
                <w:rFonts w:ascii="仿宋_GB2312" w:hAnsi="仿宋_GB2312" w:cs="仿宋_GB2312" w:eastAsia="仿宋_GB2312"/>
                <w:sz w:val="28"/>
              </w:rPr>
              <w:t>大数据建模，对基础信息、任务目标完成数据、</w:t>
            </w:r>
            <w:r>
              <w:rPr>
                <w:rFonts w:ascii="仿宋_GB2312" w:hAnsi="仿宋_GB2312" w:cs="仿宋_GB2312" w:eastAsia="仿宋_GB2312"/>
                <w:sz w:val="28"/>
              </w:rPr>
              <w:t>帮扶</w:t>
            </w:r>
            <w:r>
              <w:rPr>
                <w:rFonts w:ascii="仿宋_GB2312" w:hAnsi="仿宋_GB2312" w:cs="仿宋_GB2312" w:eastAsia="仿宋_GB2312"/>
                <w:sz w:val="28"/>
              </w:rPr>
              <w:t>措施数据和</w:t>
            </w:r>
            <w:r>
              <w:rPr>
                <w:rFonts w:ascii="仿宋_GB2312" w:hAnsi="仿宋_GB2312" w:cs="仿宋_GB2312" w:eastAsia="仿宋_GB2312"/>
                <w:sz w:val="28"/>
              </w:rPr>
              <w:t>帮扶</w:t>
            </w:r>
            <w:r>
              <w:rPr>
                <w:rFonts w:ascii="仿宋_GB2312" w:hAnsi="仿宋_GB2312" w:cs="仿宋_GB2312" w:eastAsia="仿宋_GB2312"/>
                <w:sz w:val="28"/>
              </w:rPr>
              <w:t>成效数据进行清洗、转换、计算和分析，进而完成对目标、对象、措施和成效的大数据分析，并从中为完善政策、科学研判和精准决策提供强有力的数据支撑。</w:t>
            </w:r>
          </w:p>
          <w:p>
            <w:pPr>
              <w:pStyle w:val="null3"/>
              <w:ind w:left="-135"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项目安装调试：需按照采购范围及内容，完成各平台系统的安装调试工作，直至平台系统能够顺畅运行。</w:t>
            </w:r>
          </w:p>
          <w:p>
            <w:pPr>
              <w:pStyle w:val="null3"/>
              <w:ind w:left="-135"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系统运行维护和技术支持服务。</w:t>
            </w:r>
          </w:p>
          <w:p>
            <w:pPr>
              <w:pStyle w:val="null3"/>
              <w:ind w:left="-135" w:firstLine="560"/>
              <w:jc w:val="left"/>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系统运行维护和技术支持服务主要包括但不限于：</w:t>
            </w:r>
          </w:p>
          <w:p>
            <w:pPr>
              <w:pStyle w:val="null3"/>
              <w:ind w:left="-135" w:firstLine="560"/>
              <w:jc w:val="left"/>
            </w:pPr>
            <w:r>
              <w:rPr>
                <w:rFonts w:ascii="仿宋_GB2312" w:hAnsi="仿宋_GB2312" w:cs="仿宋_GB2312" w:eastAsia="仿宋_GB2312"/>
                <w:sz w:val="28"/>
              </w:rPr>
              <w:t>（</w:t>
            </w:r>
            <w:r>
              <w:rPr>
                <w:rFonts w:ascii="仿宋_GB2312" w:hAnsi="仿宋_GB2312" w:cs="仿宋_GB2312" w:eastAsia="仿宋_GB2312"/>
                <w:sz w:val="28"/>
              </w:rPr>
              <w:t>1）提供软件系统的使用问题解答，系统巡检，数据备份，安装部署，系统优化等服务；</w:t>
            </w:r>
          </w:p>
          <w:p>
            <w:pPr>
              <w:pStyle w:val="null3"/>
              <w:ind w:left="-135" w:firstLine="560"/>
              <w:jc w:val="left"/>
            </w:pPr>
            <w:r>
              <w:rPr>
                <w:rFonts w:ascii="仿宋_GB2312" w:hAnsi="仿宋_GB2312" w:cs="仿宋_GB2312" w:eastAsia="仿宋_GB2312"/>
                <w:sz w:val="28"/>
              </w:rPr>
              <w:t>（</w:t>
            </w:r>
            <w:r>
              <w:rPr>
                <w:rFonts w:ascii="仿宋_GB2312" w:hAnsi="仿宋_GB2312" w:cs="仿宋_GB2312" w:eastAsia="仿宋_GB2312"/>
                <w:sz w:val="28"/>
              </w:rPr>
              <w:t>2）解决软件系统本身的缺陷而引起的问题及妨碍系统正常使用的其它问题。</w:t>
            </w:r>
          </w:p>
          <w:p>
            <w:pPr>
              <w:pStyle w:val="null3"/>
              <w:ind w:left="-135" w:firstLine="560"/>
              <w:jc w:val="left"/>
            </w:pPr>
            <w:r>
              <w:rPr>
                <w:rFonts w:ascii="仿宋_GB2312" w:hAnsi="仿宋_GB2312" w:cs="仿宋_GB2312" w:eastAsia="仿宋_GB2312"/>
                <w:sz w:val="28"/>
              </w:rPr>
              <w:t>（</w:t>
            </w:r>
            <w:r>
              <w:rPr>
                <w:rFonts w:ascii="仿宋_GB2312" w:hAnsi="仿宋_GB2312" w:cs="仿宋_GB2312" w:eastAsia="仿宋_GB2312"/>
                <w:sz w:val="28"/>
              </w:rPr>
              <w:t>3）提供 5×8 小时技术支持服务；</w:t>
            </w:r>
          </w:p>
          <w:p>
            <w:pPr>
              <w:pStyle w:val="null3"/>
              <w:ind w:left="-135" w:firstLine="560"/>
              <w:jc w:val="left"/>
            </w:pPr>
            <w:r>
              <w:rPr>
                <w:rFonts w:ascii="仿宋_GB2312" w:hAnsi="仿宋_GB2312" w:cs="仿宋_GB2312" w:eastAsia="仿宋_GB2312"/>
                <w:sz w:val="28"/>
              </w:rPr>
              <w:t>（</w:t>
            </w:r>
            <w:r>
              <w:rPr>
                <w:rFonts w:ascii="仿宋_GB2312" w:hAnsi="仿宋_GB2312" w:cs="仿宋_GB2312" w:eastAsia="仿宋_GB2312"/>
                <w:sz w:val="28"/>
              </w:rPr>
              <w:t>4）提供电话、电子邮件、在线支持、上门服务四种方式的技术支持服务；</w:t>
            </w:r>
          </w:p>
          <w:p>
            <w:pPr>
              <w:pStyle w:val="null3"/>
              <w:ind w:left="-135" w:firstLine="560"/>
              <w:jc w:val="left"/>
            </w:pPr>
            <w:r>
              <w:rPr>
                <w:rFonts w:ascii="仿宋_GB2312" w:hAnsi="仿宋_GB2312" w:cs="仿宋_GB2312" w:eastAsia="仿宋_GB2312"/>
                <w:sz w:val="28"/>
              </w:rPr>
              <w:t>（</w:t>
            </w:r>
            <w:r>
              <w:rPr>
                <w:rFonts w:ascii="仿宋_GB2312" w:hAnsi="仿宋_GB2312" w:cs="仿宋_GB2312" w:eastAsia="仿宋_GB2312"/>
                <w:sz w:val="28"/>
              </w:rPr>
              <w:t>5）接到技术支持服务请求的4小时内响应，1个工作日内解决问题；</w:t>
            </w:r>
          </w:p>
          <w:p>
            <w:pPr>
              <w:pStyle w:val="null3"/>
              <w:ind w:left="-135" w:firstLine="560"/>
              <w:jc w:val="left"/>
            </w:pPr>
            <w:r>
              <w:rPr>
                <w:rFonts w:ascii="仿宋_GB2312" w:hAnsi="仿宋_GB2312" w:cs="仿宋_GB2312" w:eastAsia="仿宋_GB2312"/>
                <w:sz w:val="28"/>
              </w:rPr>
              <w:t>（</w:t>
            </w:r>
            <w:r>
              <w:rPr>
                <w:rFonts w:ascii="仿宋_GB2312" w:hAnsi="仿宋_GB2312" w:cs="仿宋_GB2312" w:eastAsia="仿宋_GB2312"/>
                <w:sz w:val="28"/>
              </w:rPr>
              <w:t>6）如解决问题需超过1个工作日</w:t>
            </w:r>
            <w:r>
              <w:rPr>
                <w:rFonts w:ascii="仿宋_GB2312" w:hAnsi="仿宋_GB2312" w:cs="仿宋_GB2312" w:eastAsia="仿宋_GB2312"/>
                <w:sz w:val="28"/>
              </w:rPr>
              <w:t>，</w:t>
            </w:r>
            <w:r>
              <w:rPr>
                <w:rFonts w:ascii="仿宋_GB2312" w:hAnsi="仿宋_GB2312" w:cs="仿宋_GB2312" w:eastAsia="仿宋_GB2312"/>
                <w:sz w:val="28"/>
              </w:rPr>
              <w:t>须及时联系，协商解决。</w:t>
            </w:r>
          </w:p>
          <w:p>
            <w:pPr>
              <w:pStyle w:val="null3"/>
              <w:jc w:val="left"/>
            </w:pPr>
            <w:r>
              <w:rPr>
                <w:rFonts w:ascii="仿宋_GB2312" w:hAnsi="仿宋_GB2312" w:cs="仿宋_GB2312" w:eastAsia="仿宋_GB2312"/>
                <w:sz w:val="28"/>
              </w:rPr>
              <w:t>五</w:t>
            </w:r>
            <w:r>
              <w:rPr>
                <w:rFonts w:ascii="仿宋_GB2312" w:hAnsi="仿宋_GB2312" w:cs="仿宋_GB2312" w:eastAsia="仿宋_GB2312"/>
                <w:sz w:val="28"/>
              </w:rPr>
              <w:t>、服务期限：</w:t>
            </w:r>
          </w:p>
          <w:p>
            <w:pPr>
              <w:pStyle w:val="null3"/>
              <w:ind w:firstLine="560"/>
              <w:jc w:val="both"/>
            </w:pPr>
            <w:r>
              <w:rPr>
                <w:rFonts w:ascii="仿宋_GB2312" w:hAnsi="仿宋_GB2312" w:cs="仿宋_GB2312" w:eastAsia="仿宋_GB2312"/>
                <w:sz w:val="28"/>
              </w:rPr>
              <w:t>服务期：自合同签订之日起一年（具体服务起止日期可随合同签订时间相应顺延）</w:t>
            </w:r>
          </w:p>
          <w:p>
            <w:pPr>
              <w:pStyle w:val="null3"/>
              <w:jc w:val="left"/>
            </w:pPr>
            <w:r>
              <w:rPr>
                <w:rFonts w:ascii="仿宋_GB2312" w:hAnsi="仿宋_GB2312" w:cs="仿宋_GB2312" w:eastAsia="仿宋_GB2312"/>
                <w:sz w:val="28"/>
              </w:rPr>
              <w:t>六、</w:t>
            </w:r>
            <w:r>
              <w:rPr>
                <w:rFonts w:ascii="仿宋_GB2312" w:hAnsi="仿宋_GB2312" w:cs="仿宋_GB2312" w:eastAsia="仿宋_GB2312"/>
                <w:sz w:val="28"/>
              </w:rPr>
              <w:t>款项结算</w:t>
            </w:r>
          </w:p>
          <w:p>
            <w:pPr>
              <w:pStyle w:val="null3"/>
              <w:ind w:left="-135" w:firstLine="560"/>
              <w:jc w:val="left"/>
            </w:pPr>
            <w:r>
              <w:rPr>
                <w:rFonts w:ascii="仿宋_GB2312" w:hAnsi="仿宋_GB2312" w:cs="仿宋_GB2312" w:eastAsia="仿宋_GB2312"/>
                <w:sz w:val="28"/>
              </w:rPr>
              <w:t>（一）</w:t>
            </w:r>
            <w:r>
              <w:rPr>
                <w:rFonts w:ascii="仿宋_GB2312" w:hAnsi="仿宋_GB2312" w:cs="仿宋_GB2312" w:eastAsia="仿宋_GB2312"/>
                <w:sz w:val="28"/>
              </w:rPr>
              <w:t>付款方式：合同签订收到供应商开具发票后 10 个工作日内，支付合同服务费总额的100%；</w:t>
            </w:r>
          </w:p>
          <w:p>
            <w:pPr>
              <w:pStyle w:val="null3"/>
              <w:ind w:left="-135" w:firstLine="560"/>
              <w:jc w:val="left"/>
            </w:pPr>
            <w:r>
              <w:rPr>
                <w:rFonts w:ascii="仿宋_GB2312" w:hAnsi="仿宋_GB2312" w:cs="仿宋_GB2312" w:eastAsia="仿宋_GB2312"/>
                <w:sz w:val="28"/>
              </w:rPr>
              <w:t>（二）结算方式：银行转账。</w:t>
            </w:r>
          </w:p>
          <w:p>
            <w:pPr>
              <w:pStyle w:val="null3"/>
              <w:ind w:left="-135" w:firstLine="560"/>
              <w:jc w:val="left"/>
            </w:pPr>
            <w:r>
              <w:rPr>
                <w:rFonts w:ascii="仿宋_GB2312" w:hAnsi="仿宋_GB2312" w:cs="仿宋_GB2312" w:eastAsia="仿宋_GB2312"/>
                <w:sz w:val="28"/>
              </w:rPr>
              <w:t>（三）</w:t>
            </w:r>
            <w:r>
              <w:rPr>
                <w:rFonts w:ascii="仿宋_GB2312" w:hAnsi="仿宋_GB2312" w:cs="仿宋_GB2312" w:eastAsia="仿宋_GB2312"/>
                <w:sz w:val="28"/>
              </w:rPr>
              <w:t>结算单位</w:t>
            </w:r>
            <w:r>
              <w:rPr>
                <w:rFonts w:ascii="仿宋_GB2312" w:hAnsi="仿宋_GB2312" w:cs="仿宋_GB2312" w:eastAsia="仿宋_GB2312"/>
                <w:sz w:val="28"/>
              </w:rPr>
              <w:t>：</w:t>
            </w:r>
            <w:r>
              <w:rPr>
                <w:rFonts w:ascii="仿宋_GB2312" w:hAnsi="仿宋_GB2312" w:cs="仿宋_GB2312" w:eastAsia="仿宋_GB2312"/>
                <w:sz w:val="28"/>
              </w:rPr>
              <w:t>由</w:t>
            </w:r>
            <w:r>
              <w:rPr>
                <w:rFonts w:ascii="仿宋_GB2312" w:hAnsi="仿宋_GB2312" w:cs="仿宋_GB2312" w:eastAsia="仿宋_GB2312"/>
                <w:sz w:val="28"/>
              </w:rPr>
              <w:t>甲方</w:t>
            </w:r>
            <w:r>
              <w:rPr>
                <w:rFonts w:ascii="仿宋_GB2312" w:hAnsi="仿宋_GB2312" w:cs="仿宋_GB2312" w:eastAsia="仿宋_GB2312"/>
                <w:sz w:val="28"/>
              </w:rPr>
              <w:t>负责结算，</w:t>
            </w:r>
            <w:r>
              <w:rPr>
                <w:rFonts w:ascii="仿宋_GB2312" w:hAnsi="仿宋_GB2312" w:cs="仿宋_GB2312" w:eastAsia="仿宋_GB2312"/>
                <w:sz w:val="28"/>
              </w:rPr>
              <w:t>乙方开具合同价款的全额发票给甲方。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具体内容详见“技术参数与性能指标”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合同签订收到供应商开具发票后 10 个工作日内，支付合同服务费总额的100%；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具体内容详见本项目合同附件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具体内容详见本项目合同附件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投标人按照招标文件要求上传投标文件并进行评审</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投标人按照招标文件要求上传投标文件并进行评审</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1、响应文件的完整性审查。 1.1响应文件 是否按照采购文件要求的格式编写。 2、响 应文件的有效性审查。 2.1响应文件的签署、加 盖印章是否合格、有效。 3、响应文件的响 应性审查。 3.1报价是否未超过采购预算或 最高限价； 3.2报价有效期是否符合采购文 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