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版本号：YC25103002（CGQ）20250529001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临潼区馆藏民国档案保护项目裱糊修复服务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YC25103002（CGQ）</w:t>
      </w:r>
      <w:r>
        <w:br/>
      </w:r>
      <w:r>
        <w:br/>
      </w:r>
      <w:r>
        <w:br/>
      </w:r>
    </w:p>
    <w:p>
      <w:pPr>
        <w:pStyle w:val="null3"/>
        <w:jc w:val="center"/>
        <w:outlineLvl w:val="2"/>
      </w:pPr>
      <w:r>
        <w:rPr>
          <w:rFonts w:ascii="仿宋_GB2312" w:hAnsi="仿宋_GB2312" w:cs="仿宋_GB2312" w:eastAsia="仿宋_GB2312"/>
          <w:sz w:val="28"/>
          <w:b/>
        </w:rPr>
        <w:t>西安市临潼区档案馆</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西安市临潼区档案馆</w:t>
      </w:r>
      <w:r>
        <w:rPr>
          <w:rFonts w:ascii="仿宋_GB2312" w:hAnsi="仿宋_GB2312" w:cs="仿宋_GB2312" w:eastAsia="仿宋_GB2312"/>
        </w:rPr>
        <w:t>委托，拟对</w:t>
      </w:r>
      <w:r>
        <w:rPr>
          <w:rFonts w:ascii="仿宋_GB2312" w:hAnsi="仿宋_GB2312" w:cs="仿宋_GB2312" w:eastAsia="仿宋_GB2312"/>
        </w:rPr>
        <w:t>临潼区馆藏民国档案保护项目裱糊修复服务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YC25103002（CGQ）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临潼区馆藏民国档案保护项目裱糊修复服务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潼区馆藏民国档案保护项目裱糊修复，任务量为30万页，由于该批档案年代久远、保存条件不完善，大多数档案字迹退变、纸张破损。要求所有纸质文件经保护修复后强度得到提高、不影响其柔软度和平整度，修复后的纸质文件能长期保管和展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采购包1（临潼区馆藏民国档案保护项目裱糊修复服务）：属于专门面向中小企业采购。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1、营业执照：供应商须为合法注册的法人或者其他组织，并出具合法有效的营业执照。</w:t>
      </w:r>
    </w:p>
    <w:p>
      <w:pPr>
        <w:pStyle w:val="null3"/>
      </w:pPr>
      <w:r>
        <w:rPr>
          <w:rFonts w:ascii="仿宋_GB2312" w:hAnsi="仿宋_GB2312" w:cs="仿宋_GB2312" w:eastAsia="仿宋_GB2312"/>
        </w:rPr>
        <w:t>2、法人身份证明或授权委托书：法人代表证明书或法人授权委托书，后附法人及被委托人身份证（法定代表人直接参加磋商的只需提供法定代表人身份证）。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3、供应商资格：供应商须具备国家保密局颁发的国家秘密载体印制乙级及以上资质（资质类别为涉密档案数字化加工）。</w:t>
      </w:r>
    </w:p>
    <w:p>
      <w:pPr>
        <w:pStyle w:val="null3"/>
      </w:pPr>
      <w:r>
        <w:rPr>
          <w:rFonts w:ascii="仿宋_GB2312" w:hAnsi="仿宋_GB2312" w:cs="仿宋_GB2312" w:eastAsia="仿宋_GB2312"/>
        </w:rPr>
        <w:t>4、财务状况报告：提供2023年度或2024年度经审计的财务审计报告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5、税收和社保证明：提供投标截止时间前6个月内任意一个月依法缴纳的税收和社保证明（社会保障资金缴存单据或社保机构开具的社会保险参保缴费情况证明）；以税款所属期时间为准，依法免税或不需要缴纳社会保障资金的应提供相关证明材料。</w:t>
      </w:r>
    </w:p>
    <w:p>
      <w:pPr>
        <w:pStyle w:val="null3"/>
      </w:pPr>
      <w:r>
        <w:rPr>
          <w:rFonts w:ascii="仿宋_GB2312" w:hAnsi="仿宋_GB2312" w:cs="仿宋_GB2312" w:eastAsia="仿宋_GB2312"/>
        </w:rPr>
        <w:t>6、无重大违法记录的书面声明：参加政府采购活动前三年内，在经营活动中没有重大违法记录的书面声明。</w:t>
      </w:r>
    </w:p>
    <w:p>
      <w:pPr>
        <w:pStyle w:val="null3"/>
      </w:pPr>
      <w:r>
        <w:rPr>
          <w:rFonts w:ascii="仿宋_GB2312" w:hAnsi="仿宋_GB2312" w:cs="仿宋_GB2312" w:eastAsia="仿宋_GB2312"/>
        </w:rPr>
        <w:t>7、履行合同书面声明：履行合同所必需的设备和专业技术能力的书面声明。</w:t>
      </w:r>
    </w:p>
    <w:p>
      <w:pPr>
        <w:pStyle w:val="null3"/>
      </w:pPr>
      <w:r>
        <w:rPr>
          <w:rFonts w:ascii="仿宋_GB2312" w:hAnsi="仿宋_GB2312" w:cs="仿宋_GB2312" w:eastAsia="仿宋_GB2312"/>
        </w:rPr>
        <w:t>8、供应商关联关系声明：单位负责人为同一人或者存在直接控股、管理关系的不同供应商，不得参加同一合同项下的投标活动。</w:t>
      </w:r>
    </w:p>
    <w:p>
      <w:pPr>
        <w:pStyle w:val="null3"/>
      </w:pPr>
      <w:r>
        <w:rPr>
          <w:rFonts w:ascii="仿宋_GB2312" w:hAnsi="仿宋_GB2312" w:cs="仿宋_GB2312" w:eastAsia="仿宋_GB2312"/>
        </w:rPr>
        <w:t>9、信誉截图：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网页查询结果截图）。</w:t>
      </w:r>
    </w:p>
    <w:p>
      <w:pPr>
        <w:pStyle w:val="null3"/>
      </w:pPr>
      <w:r>
        <w:rPr>
          <w:rFonts w:ascii="仿宋_GB2312" w:hAnsi="仿宋_GB2312" w:cs="仿宋_GB2312" w:eastAsia="仿宋_GB2312"/>
        </w:rPr>
        <w:t>10、落实政府采购政策需满足的资格要求：本项目为专门面向中小企业项目，供应商应为中型、小型企业或监狱企业或残疾人福利性单位。</w:t>
      </w:r>
    </w:p>
    <w:p>
      <w:pPr>
        <w:pStyle w:val="null3"/>
      </w:pPr>
      <w:r>
        <w:rPr>
          <w:rFonts w:ascii="仿宋_GB2312" w:hAnsi="仿宋_GB2312" w:cs="仿宋_GB2312" w:eastAsia="仿宋_GB2312"/>
        </w:rPr>
        <w:t>11、非联合体投标声明：本项目不接受联合体投标。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029-83827920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西安市临潼区环城东路东环路小区4号楼101室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宋利利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029-83992983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代理服务费收费标准：中标人领取中标通知书时，代理服务费参照计价格【2002】1980号及发改价格【2011】534号文件规定标准；向“亿诚建设项目管理有限公司”交纳。 户 名：亿诚建设项目管理有限公司 开户行：中国民生银行西安吉祥路支行 账 号：699295538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西安市临潼区档案馆</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验收合格，满足行业规定。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联系人：宋利利</w:t>
      </w:r>
    </w:p>
    <w:p>
      <w:pPr>
        <w:pStyle w:val="null3"/>
      </w:pPr>
      <w:r>
        <w:rPr>
          <w:rFonts w:ascii="仿宋_GB2312" w:hAnsi="仿宋_GB2312" w:cs="仿宋_GB2312" w:eastAsia="仿宋_GB2312"/>
        </w:rPr>
        <w:t>联系电话：029-83992983</w:t>
      </w:r>
    </w:p>
    <w:p>
      <w:pPr>
        <w:pStyle w:val="null3"/>
      </w:pPr>
      <w:r>
        <w:rPr>
          <w:rFonts w:ascii="仿宋_GB2312" w:hAnsi="仿宋_GB2312" w:cs="仿宋_GB2312" w:eastAsia="仿宋_GB2312"/>
        </w:rPr>
        <w:t>地址：西安市临潼区环城东路东环路小区4号楼101室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潼区馆藏民国档案保护项目裱糊修复，任务量为30万页，由于该批档案年代久远、保存条件不完善，大多数档案字迹退变、纸张破损。要求所有纸质文件经保护修复后强度得到提高、不影响其柔软度和平整度，修复后的纸质文件能长期保管和展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1,950,000.00</w:t>
      </w:r>
    </w:p>
    <w:p>
      <w:pPr>
        <w:pStyle w:val="null3"/>
      </w:pPr>
      <w:r>
        <w:rPr>
          <w:rFonts w:ascii="仿宋_GB2312" w:hAnsi="仿宋_GB2312" w:cs="仿宋_GB2312" w:eastAsia="仿宋_GB2312"/>
        </w:rPr>
        <w:t>采购包最高限价（元）: 1,950,000.00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临潼区馆藏民国档案保护项目裱糊修复服务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标的名称：临潼区馆藏民国档案保护项目裱糊修复服务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临潼区馆藏民国档案保护项目裱糊修复服务对馆藏民国档案2980卷进行裱糊修复，按A4幅面计算共30万页。本次档案、文件纸张多为粗制麻纸、草纸、油墨多为铅印油墨、文字多为毛笔墨水书写，档案、文件严重变黄变脆、部分字迹模糊不清。要求通过去污、脱酸、托裱等手段，对档案进行保护修复，修复后档案应字迹清晰、平整美观、整体协调、能够长期保存。</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技术标准及规范性文件</w:t>
            </w:r>
          </w:p>
          <w:p>
            <w:pPr>
              <w:pStyle w:val="null3"/>
            </w:pPr>
            <w:r>
              <w:rPr>
                <w:rFonts w:ascii="仿宋_GB2312" w:hAnsi="仿宋_GB2312" w:cs="仿宋_GB2312" w:eastAsia="仿宋_GB2312"/>
                <w:sz w:val="21"/>
              </w:rPr>
              <w:t>（1）GB/T42468-2023纸质档案抢救与修复规范</w:t>
            </w:r>
          </w:p>
          <w:p>
            <w:pPr>
              <w:pStyle w:val="null3"/>
            </w:pPr>
            <w:r>
              <w:rPr>
                <w:rFonts w:ascii="仿宋_GB2312" w:hAnsi="仿宋_GB2312" w:cs="仿宋_GB2312" w:eastAsia="仿宋_GB2312"/>
                <w:sz w:val="21"/>
              </w:rPr>
              <w:t>（2）DA/T 25—2022档案修裱技术规范</w:t>
            </w:r>
          </w:p>
          <w:p>
            <w:pPr>
              <w:pStyle w:val="null3"/>
            </w:pPr>
            <w:r>
              <w:rPr>
                <w:rFonts w:ascii="仿宋_GB2312" w:hAnsi="仿宋_GB2312" w:cs="仿宋_GB2312" w:eastAsia="仿宋_GB2312"/>
                <w:sz w:val="21"/>
              </w:rPr>
              <w:t>（3）《中华人民共和国档案法》《中华人民共和国档案法实施条例》</w:t>
            </w:r>
          </w:p>
          <w:p>
            <w:pPr>
              <w:pStyle w:val="null3"/>
              <w:jc w:val="both"/>
            </w:pPr>
            <w:r>
              <w:rPr>
                <w:rFonts w:ascii="仿宋_GB2312" w:hAnsi="仿宋_GB2312" w:cs="仿宋_GB2312" w:eastAsia="仿宋_GB2312"/>
                <w:sz w:val="21"/>
              </w:rPr>
              <w:t>（4）《中华人民共和国保守秘密法》</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脱酸要求：</w:t>
            </w:r>
          </w:p>
          <w:p>
            <w:pPr>
              <w:pStyle w:val="null3"/>
            </w:pPr>
            <w:r>
              <w:rPr>
                <w:rFonts w:ascii="仿宋_GB2312" w:hAnsi="仿宋_GB2312" w:cs="仿宋_GB2312" w:eastAsia="仿宋_GB2312"/>
                <w:sz w:val="21"/>
              </w:rPr>
              <w:t>1、通过酸碱中和的原理,将纸张中的酸性物质去除。脱酸的主要质量要求如下：</w:t>
            </w:r>
          </w:p>
          <w:p>
            <w:pPr>
              <w:pStyle w:val="null3"/>
            </w:pPr>
            <w:r>
              <w:rPr>
                <w:rFonts w:ascii="仿宋_GB2312" w:hAnsi="仿宋_GB2312" w:cs="仿宋_GB2312" w:eastAsia="仿宋_GB2312"/>
                <w:sz w:val="21"/>
              </w:rPr>
              <w:t>（1）纸张pH呈中性或弱碱性(7.0≤pH≤8.5)；</w:t>
            </w:r>
          </w:p>
          <w:p>
            <w:pPr>
              <w:pStyle w:val="null3"/>
            </w:pPr>
            <w:r>
              <w:rPr>
                <w:rFonts w:ascii="仿宋_GB2312" w:hAnsi="仿宋_GB2312" w:cs="仿宋_GB2312" w:eastAsia="仿宋_GB2312"/>
                <w:sz w:val="21"/>
              </w:rPr>
              <w:t>（2）对档案纸张性能及寿命基本无影响；</w:t>
            </w:r>
          </w:p>
          <w:p>
            <w:pPr>
              <w:pStyle w:val="null3"/>
            </w:pPr>
            <w:r>
              <w:rPr>
                <w:rFonts w:ascii="仿宋_GB2312" w:hAnsi="仿宋_GB2312" w:cs="仿宋_GB2312" w:eastAsia="仿宋_GB2312"/>
                <w:sz w:val="21"/>
              </w:rPr>
              <w:t>（3）字迹无洇化、扩散等现象；</w:t>
            </w:r>
          </w:p>
          <w:p>
            <w:pPr>
              <w:pStyle w:val="null3"/>
            </w:pPr>
            <w:r>
              <w:rPr>
                <w:rFonts w:ascii="仿宋_GB2312" w:hAnsi="仿宋_GB2312" w:cs="仿宋_GB2312" w:eastAsia="仿宋_GB2312"/>
                <w:sz w:val="21"/>
              </w:rPr>
              <w:t>（4）脱酸处理后纸张碱储量符合ISO/TS18344的相关规定；</w:t>
            </w:r>
          </w:p>
          <w:p>
            <w:pPr>
              <w:pStyle w:val="null3"/>
            </w:pPr>
            <w:r>
              <w:rPr>
                <w:rFonts w:ascii="仿宋_GB2312" w:hAnsi="仿宋_GB2312" w:cs="仿宋_GB2312" w:eastAsia="仿宋_GB2312"/>
                <w:sz w:val="21"/>
              </w:rPr>
              <w:t>（5）脱酸均匀。</w:t>
            </w:r>
          </w:p>
          <w:p>
            <w:pPr>
              <w:pStyle w:val="null3"/>
            </w:pPr>
            <w:r>
              <w:rPr>
                <w:rFonts w:ascii="仿宋_GB2312" w:hAnsi="仿宋_GB2312" w:cs="仿宋_GB2312" w:eastAsia="仿宋_GB2312"/>
                <w:sz w:val="21"/>
              </w:rPr>
              <w:t>（6）残留在纸张中的碱性物质有一定的缓冲抗酸作用,不影响档案的寿命。</w:t>
            </w:r>
          </w:p>
          <w:p>
            <w:pPr>
              <w:pStyle w:val="null3"/>
              <w:jc w:val="both"/>
            </w:pPr>
            <w:r>
              <w:rPr>
                <w:rFonts w:ascii="仿宋_GB2312" w:hAnsi="仿宋_GB2312" w:cs="仿宋_GB2312" w:eastAsia="仿宋_GB2312"/>
                <w:sz w:val="21"/>
              </w:rPr>
              <w:t>2、在修裱过程中根据纸张或字迹损坏程度确定是否进行脱酸。</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丝网加固要求：</w:t>
            </w:r>
          </w:p>
          <w:p>
            <w:pPr>
              <w:pStyle w:val="null3"/>
            </w:pPr>
            <w:r>
              <w:rPr>
                <w:rFonts w:ascii="仿宋_GB2312" w:hAnsi="仿宋_GB2312" w:cs="仿宋_GB2312" w:eastAsia="仿宋_GB2312"/>
                <w:sz w:val="21"/>
              </w:rPr>
              <w:t>（1）丝网加固是将喷射均匀胶点的丝网使用一定的技法覆盖在档案上。要有柔韧和轻薄的特点。用于脆弱薄型纸张和纺织文物等，被加固的纸质档案、文字清晰，不影响阅读。</w:t>
            </w:r>
          </w:p>
          <w:p>
            <w:pPr>
              <w:pStyle w:val="null3"/>
              <w:jc w:val="both"/>
            </w:pPr>
            <w:r>
              <w:rPr>
                <w:rFonts w:ascii="仿宋_GB2312" w:hAnsi="仿宋_GB2312" w:cs="仿宋_GB2312" w:eastAsia="仿宋_GB2312"/>
                <w:sz w:val="21"/>
              </w:rPr>
              <w:t>（2）在修裱过程中根据纸张或字迹损坏程度确定是否进行丝网加固。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档案修裱要求：</w:t>
            </w:r>
          </w:p>
          <w:p>
            <w:pPr>
              <w:pStyle w:val="null3"/>
            </w:pPr>
            <w:r>
              <w:rPr>
                <w:rFonts w:ascii="仿宋_GB2312" w:hAnsi="仿宋_GB2312" w:cs="仿宋_GB2312" w:eastAsia="仿宋_GB2312"/>
                <w:sz w:val="21"/>
              </w:rPr>
              <w:t>1、档案修裱前处理工作：（1）对档案进行编页，原页码正确的使用原页码，无页码或者页码不正确的，需重新编页。（2）拆卷。要以保护档案为原则，以最小损害对档案进行拆卷。（3）揭裱。如有原修裱不规范，或多张纸粘连的情况，应先行进行揭裱。</w:t>
            </w:r>
          </w:p>
          <w:p>
            <w:pPr>
              <w:pStyle w:val="null3"/>
            </w:pPr>
            <w:r>
              <w:rPr>
                <w:rFonts w:ascii="仿宋_GB2312" w:hAnsi="仿宋_GB2312" w:cs="仿宋_GB2312" w:eastAsia="仿宋_GB2312"/>
                <w:sz w:val="21"/>
              </w:rPr>
              <w:t>2、制做浆糊。浆糊由小麦淀粉兑水加热搅拌制成并添加防霉剂,其稀稠度应根据档案纸张、修裱方法等情况而定。</w:t>
            </w:r>
          </w:p>
          <w:p>
            <w:pPr>
              <w:pStyle w:val="null3"/>
            </w:pPr>
            <w:r>
              <w:rPr>
                <w:rFonts w:ascii="仿宋_GB2312" w:hAnsi="仿宋_GB2312" w:cs="仿宋_GB2312" w:eastAsia="仿宋_GB2312"/>
                <w:sz w:val="21"/>
              </w:rPr>
              <w:t>3、修裱程序：根据纸张情况确定托裱方式（干裱或湿裱）</w:t>
            </w:r>
          </w:p>
          <w:p>
            <w:pPr>
              <w:pStyle w:val="null3"/>
            </w:pPr>
            <w:r>
              <w:rPr>
                <w:rFonts w:ascii="仿宋_GB2312" w:hAnsi="仿宋_GB2312" w:cs="仿宋_GB2312" w:eastAsia="仿宋_GB2312"/>
                <w:sz w:val="21"/>
              </w:rPr>
              <w:t>（1）湿裱：档案上修裱台——适量喷水润湿展平（视档案纸张情况确定）——刷浆——补缺——贴边——上托纸——排实——拍浆——上裱糊墙——晾干——下墙。</w:t>
            </w:r>
          </w:p>
          <w:p>
            <w:pPr>
              <w:pStyle w:val="null3"/>
            </w:pPr>
            <w:r>
              <w:rPr>
                <w:rFonts w:ascii="仿宋_GB2312" w:hAnsi="仿宋_GB2312" w:cs="仿宋_GB2312" w:eastAsia="仿宋_GB2312"/>
                <w:sz w:val="21"/>
              </w:rPr>
              <w:t>（2）干裱：档案补缺——托纸刷浆——托纸晾干至合适湿度——档案上修裱台——上托纸——排实——拍浆——上裱糊墙——晾干——下墙。</w:t>
            </w:r>
          </w:p>
          <w:p>
            <w:pPr>
              <w:pStyle w:val="null3"/>
            </w:pPr>
            <w:r>
              <w:rPr>
                <w:rFonts w:ascii="仿宋_GB2312" w:hAnsi="仿宋_GB2312" w:cs="仿宋_GB2312" w:eastAsia="仿宋_GB2312"/>
                <w:sz w:val="21"/>
              </w:rPr>
              <w:t>裱件下墙后，应以卷为单位按照卷内页码排列并进行压平。</w:t>
            </w:r>
          </w:p>
          <w:p>
            <w:pPr>
              <w:pStyle w:val="null3"/>
              <w:jc w:val="both"/>
            </w:pPr>
            <w:r>
              <w:rPr>
                <w:rFonts w:ascii="仿宋_GB2312" w:hAnsi="仿宋_GB2312" w:cs="仿宋_GB2312" w:eastAsia="仿宋_GB2312"/>
                <w:sz w:val="21"/>
              </w:rPr>
              <w:t>4、修裱数量：共计2980卷，按A4幅面计算共30万页。</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档案裁切要求：</w:t>
            </w:r>
          </w:p>
          <w:p>
            <w:pPr>
              <w:pStyle w:val="null3"/>
              <w:jc w:val="both"/>
            </w:pPr>
            <w:r>
              <w:rPr>
                <w:rFonts w:ascii="仿宋_GB2312" w:hAnsi="仿宋_GB2312" w:cs="仿宋_GB2312" w:eastAsia="仿宋_GB2312"/>
                <w:sz w:val="21"/>
              </w:rPr>
              <w:t>档案裁切时应以卷为单位进行，如无特殊情况，同一卷内应保持统一纸张大小，民国档案基本为16开大小，特殊情况根据实际确定裁切大小。民国档案基本采用右侧装订，裁切时应在纸张右侧留有至少2.5CM的装订空间。裁切完成后应以卷为单位按照卷内页码排列并用原卷皮包裹后妥善存放。本次民国档案保护修复不要求装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（一）档案借调要求： 中标人与采购方人员办理档案借调手续，逐批借出待修复保护档案，档案借调应逐卷清点，案卷封面的档号与调卷单开具的档号应一一对应，确保准确无误，同时应做好交接记录。 （二）保密要求： 中标单位须与采购单位就民国档案修复保护签订保密协议。同时应做到： （1）与项目工作人员签订保密协议，加强对工作人员的保密教育。 （2）建立严格的保密制度，加强管理，杜绝工作人员对档案及档案信息的私自复制行为。 （3）不同的工序之间要采取措施，杜绝泄密事故的发生。在加工过程中，中标人不能丢失、损毁档案，档案资料不能放错卷、盒。由于中标人过错导致档案资料及数据损毁或泄密的，投标人承担一切责任。 （4）中标人对纸质档案修复保护的各个环节均应进行详细的登记，建立工作日志并及时整理、汇总，装订成册，在修复保护工作完成的同时建立起完整、规范的记录。并建立加工流水表单，该表单应详细记录加工过程及相关内容。完工验收时应提交工作日志、产品质量检验、验收记录等资料。 （5）不得在工作场所使用与工作无关的任何电器设备，如手提电脑、手机、相机、mp3、mp4及移动存储介质等。 （6）完成项目后，双方均对本项目的技术资料保密承担责任。 （三）数据验收要求： 1、数据抽检 （1）以抽检的方式检查已完成档案修复工作的总体质量。 （2）验收时抽检的比率不得低于50%。 2、验收指标 质量抽检的合格率达到98%以上（含98%）时，给予以验收“通过”。 合格率=抽检合格的文件数/抽检文件总数×100% 3、验收审核 验收"通过"的结论，必须经分管领导审核、签字后方有效。 4、验收登记 填写纸质档案保护修复验收登记表单。</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西安市临潼区档案馆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档案修复后，纸张应无开角、鼓泡、开张、裱反、表面皱褶等情况，档案内容字迹清晰并与修复前一致，各卷档案卷内排列正确，不缺页，备考表对修复情况记录完整。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合同签订后，人员进场准备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裱糊修复工作全部完成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经验收合格后，无质量问题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资格证明资料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资格证明资料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供应商须为合法注册的法人或者其他组织，并出具合法有效的营业执照。</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供应商须具备国家保密局颁发的国家秘密载体印制乙级及以上资质（资质类别为涉密档案数字化加工）。</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税收和社保证明</w:t>
            </w:r>
          </w:p>
        </w:tc>
        <w:tc>
          <w:tcPr>
            <w:tcW w:type="dxa" w:w="3322"/>
          </w:tcPr>
          <w:p>
            <w:pPr>
              <w:pStyle w:val="null3"/>
            </w:pPr>
            <w:r>
              <w:rPr>
                <w:rFonts w:ascii="仿宋_GB2312" w:hAnsi="仿宋_GB2312" w:cs="仿宋_GB2312" w:eastAsia="仿宋_GB2312"/>
              </w:rPr>
              <w:t>提供投标截止时间前6个月内任意一个月依法缴纳的税收和社保证明（社会保障资金缴存单据或社保机构开具的社会保险参保缴费情况证明）；以税款所属期时间为准，依法免税或不需要缴纳社会保障资金的应提供相关证明材料。</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资格证明资料 供应商承诺书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履行合同书面声明</w:t>
            </w:r>
          </w:p>
        </w:tc>
        <w:tc>
          <w:tcPr>
            <w:tcW w:type="dxa" w:w="3322"/>
          </w:tcPr>
          <w:p>
            <w:pPr>
              <w:pStyle w:val="null3"/>
            </w:pPr>
            <w:r>
              <w:rPr>
                <w:rFonts w:ascii="仿宋_GB2312" w:hAnsi="仿宋_GB2312" w:cs="仿宋_GB2312" w:eastAsia="仿宋_GB2312"/>
              </w:rPr>
              <w:t>履行合同所必需的设备和专业技术能力的书面声明。</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资格证明资料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网页查询结果截图）。</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本项目为专门面向中小企业项目，供应商应为中型、小型企业或监狱企业或残疾人福利性单位。</w:t>
            </w:r>
          </w:p>
        </w:tc>
        <w:tc>
          <w:tcPr>
            <w:tcW w:type="dxa" w:w="1661"/>
          </w:tcPr>
          <w:p>
            <w:pPr>
              <w:pStyle w:val="null3"/>
            </w:pPr>
            <w:r>
              <w:rPr>
                <w:rFonts w:ascii="仿宋_GB2312" w:hAnsi="仿宋_GB2312" w:cs="仿宋_GB2312" w:eastAsia="仿宋_GB2312"/>
              </w:rPr>
              <w:t>资格证明资料 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满足磋商文件格式要求。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按磋商文件要求提交投标报价，不得提交有选择的投标报价，且每轮报价不超过采购预算金额或最高限价。</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提供针对本项目的总体分析（分析内容包括但不限于项目背景、采购需求及意义、项目的重点难点及具体要求等）。1.对本项目的背景、采购需求及意义理解非常透彻，对项目重点难点及具体要求有具体分析及具体应对措施，得8-6分；2.对本项目的背景、采购需求及意义有较好的理解，对项目重点难点及具体要求有较好的分析及应对措施，得6-3分；3.对本项目的背景、采购需求及意义的理解一般，对项目重点难点及具体要求的分析一般、应对措施稍有欠缺还需完善，得3-2分；4.对本项目的背景、采购需求及意义理解不到位，对项目重点难点及具体要求的分析有缺陷、无应对措施，得2-1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提供服务方案（包括但不限于档案借调、脱酸、加固、修裱、裁切、质检、验收、归还等内容）1.服务方案内容全面完善、切实可行、有针对性，完全满足项目采购要求，得15-10分； 2.服务方案内容较为全面完善、较为切实可行，较有针对性，基本满足项目采购要求得10-6分； 3.服务方案内容一般、针对性一般，基本满足项目采购要求但还需完善得6-3分； 4.服务方案内容空洞、无针对性得3-1分；未提供不得分。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针对本项目提供内部管理制度（包括但不限于日常工作管理、人员组织管理、档案验收、风险隐患控制管理等方面）。1.内部管理制度全面完善、切实可行、有针对性，完全满足项目采购要求，得10-8分； 2.内部管理制度较为全面完善、较为切实可行，较有针对性，基本满足项目采购要求得8-5分；3.内部管理制度一般、针对性一般，基本满足项目采购要求但还需完善得5-3分； 4.内部管理制度内容空洞、无针对性得3-1分；未提供不得分。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针对本项目提供保密方案（包括但不限于对档案实体、电子数据、人员、计算机设备及现场管理的保密及应对措施等方面）。 1.保密方案全面完善，应对措施切实可行、有较强针对性，完全满足项目采购要求，得10-8分；2.保密方案较为全面完善，应对措施较为切实可行，较有针对性，基本满足项目采购要求，得8-5分； 3.保密方案一般，应对措施一般，针对性一般，基本满足项目采购要求但还需完善得5-3分； 4.保密方案内容空洞、无针对性得3-1分；未提供不得分。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针对本项目提供质量保障措施（包括但不限于各环节质量的检查、加工过程中的质量控制措施及是否满足反复修改、随时汇报以及短期内完成档案裱糊修复工作等方面）。 1.项目质量保障措施内容详尽、完善、有针对性，完全满足反复修改、随时汇报以及短期内完成档案裱糊修复工作等特殊要求的得10-8分；2.项目质量保障措施内容较为详尽完善、较有针对性，能够满足反复修改、随时汇报以及短期内完成档案裱糊修复工作等特殊要求的得8-5分；3.项目质量保障措施内容一般、可行性一般，基本满足反复修改、随时汇报以及短期内完成档案裱糊修复工作等特殊要求但还需完善的得5-3分； 4.措施内容空洞、无针对性、满足不了特殊要求得3-1分；未提供不得分。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进度计划保证措施</w:t>
            </w:r>
          </w:p>
        </w:tc>
        <w:tc>
          <w:tcPr>
            <w:tcW w:type="dxa" w:w="2492"/>
          </w:tcPr>
          <w:p>
            <w:pPr>
              <w:pStyle w:val="null3"/>
            </w:pPr>
            <w:r>
              <w:rPr>
                <w:rFonts w:ascii="仿宋_GB2312" w:hAnsi="仿宋_GB2312" w:cs="仿宋_GB2312" w:eastAsia="仿宋_GB2312"/>
              </w:rPr>
              <w:t>针对本项目制定的进度计划保证措施。 1.制定了详细、合理的项目进度计划及进度计划保证措施，且承诺为满足项目需求可以节假日赶工的，得10-8分； 2.制定了较为详细、较为合理的项目进度计划及进度计划保证措施，且承诺为满足项目需求可以节假日赶工的，得8-5分； 3.制定的项目进度计划及进度计划保证措施一般，未承诺为满足项目需求可以节假日赶工的，得5-3分； 4.制定的项目进度计划及进度计划保证措施内容空洞、有欠缺得3-1分；未提供不得分。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提供应急预案及突发事件应急保障措施。1.应急预案内容分析全面、具体、合理，应对突发事件的保障措施详细、可行、有针对性，得8-6分； 2.应急预案内容分析较为全面具体合理，应对突发事件的保障措施较为详细可行，较有针对性，得6-3分； 3.应急预案内容分析一般，应对突发事件的保障措施一般、针对性一般还需完善，得3-2分； 4.内容空洞、无针对性得2-1分；未提供不得分。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提供包含服务内容、服务质量、服务响应方式及响应时间等详细完整的服务承诺。 1.服务承诺内容完整科学，符合项目实际及需求，得10-8分； 2.服务承诺内容较完整，基本符合项目实际需求，得8-5分； 3.服务承诺内容一般，还需完善，得5-3分； 4.内容空洞、无针对性得3-1分；未提供不得分。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项目负责人具有大专及以上学历。1.具有高级档案管理师证书，得2分；2.具有档案管理馆员证书，得1分； 其他不得分。 （注：须提供项目负责人的学历证书、相关证书复印件）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提供为本项目组建的工作服务团队。 1.组织架构完整，岗位设置合理，人员分工明确、职责健全，人员配备满足项目需求，得5-3分。 2.组织架构基本完整，岗位基本设置合理，人员分工基本明确、职责基本健全，人员配备基本满足项目需求，得3-2分。 3.组织架构完整性一般，岗位设置合理性一般，人员分工不够明确、职责不够健全，人员配备不够充足，得2-1分。 4.组织架构和岗位设置不合理、人员分工混乱、有欠缺，得1-0分。未提供不得分。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供应商提供自 2022 年1月1日至今类似项目业绩，每提供一份得 1 分，最高得2分；没有提供不得分。 以中标通知书或合同协议书为准。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采用低价优先法计算，即满足磋商文件要求且最终磋商报价最低的投标报价为评审基准价，其价格分为满分10分。 投标报价得分＝（评审基准价/投标报价）×10 评委会三分之二以上专家认为某投标报价有低于成本价嫌疑的，为无效投标报价。 注：各供应商的在多次报价中应逐次降价，本次报价超过上次报价的，为无效报价，取消其磋商资格。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详见附件：资格证明资料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