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版本号：HYDZB202502220250530001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2024年第四批省级农业专项资金（机械化熟化应用基地）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HYDZB2025022</w:t>
      </w:r>
      <w:r>
        <w:br/>
      </w:r>
      <w:r>
        <w:br/>
      </w:r>
      <w:r>
        <w:br/>
      </w:r>
    </w:p>
    <w:p>
      <w:pPr>
        <w:pStyle w:val="null3"/>
        <w:jc w:val="center"/>
        <w:outlineLvl w:val="2"/>
      </w:pPr>
      <w:r>
        <w:rPr>
          <w:rFonts w:ascii="仿宋_GB2312" w:hAnsi="仿宋_GB2312" w:cs="仿宋_GB2312" w:eastAsia="仿宋_GB2312"/>
          <w:sz w:val="28"/>
          <w:b/>
        </w:rPr>
        <w:t>西安市临潼区农业机械管理站</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西安市临潼区农业机械管理站</w:t>
      </w:r>
      <w:r>
        <w:rPr>
          <w:rFonts w:ascii="仿宋_GB2312" w:hAnsi="仿宋_GB2312" w:cs="仿宋_GB2312" w:eastAsia="仿宋_GB2312"/>
        </w:rPr>
        <w:t>委托，拟对</w:t>
      </w:r>
      <w:r>
        <w:rPr>
          <w:rFonts w:ascii="仿宋_GB2312" w:hAnsi="仿宋_GB2312" w:cs="仿宋_GB2312" w:eastAsia="仿宋_GB2312"/>
        </w:rPr>
        <w:t>2024年第四批省级农业专项资金（机械化熟化应用基地）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2024年第四批省级农业专项资金（机械化熟化应用基地）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依托农机合作社建设 1000 亩的主要粮食作物(小麦、玉米)机械化熟化应用基地，引进购置机械化技术集成配套机具3台，其中:无人机、烘干机和拖拉机各1台，推进高效植保、产地烘干和秸秆处理等机械化技术集成配套和新机具引进、试验等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4、非联合体声明：本项目不接受联合体投标（提供非联合声明）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西安市临潼区农业机械管理站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临潼区骊山街道西关正街1号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临潼区农业机械管理站经办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83812980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西安市临潼区农业机械管理站</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西安市临潼区农业机械管理站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西安市临潼区农业机械管理站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本《招标文件》要求的执行标准、材料设备制造厂家的产品标准、招标文件第三部分规定的技术要求、《招标文件》的承诺进行验收。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依托农机合作社建设 1000 亩的主要粮食作物(小麦、玉米)机械化熟化应用基地，引进购置机械化技术集成配套机具3台，其中:无人机、烘干机和拖拉机各1台，推进高效植保、产地烘干和秸秆处理等机械化技术集成配套和新机具引进、试验等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拖拉机、无人机、烘干机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标的名称：拖拉机、无人机、烘干机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2"/>
              <w:gridCol w:w="357"/>
              <w:gridCol w:w="1192"/>
              <w:gridCol w:w="258"/>
              <w:gridCol w:w="432"/>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9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植保无人机</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1.药液载重≥</w:t>
                  </w:r>
                  <w:r>
                    <w:rPr>
                      <w:rFonts w:ascii="仿宋_GB2312" w:hAnsi="仿宋_GB2312" w:cs="仿宋_GB2312" w:eastAsia="仿宋_GB2312"/>
                      <w:sz w:val="21"/>
                      <w:color w:val="000000"/>
                    </w:rPr>
                    <w:t>5</w:t>
                  </w:r>
                  <w:r>
                    <w:rPr>
                      <w:rFonts w:ascii="仿宋_GB2312" w:hAnsi="仿宋_GB2312" w:cs="仿宋_GB2312" w:eastAsia="仿宋_GB2312"/>
                      <w:sz w:val="21"/>
                      <w:color w:val="000000"/>
                    </w:rPr>
                    <w:t>0L。</w:t>
                  </w:r>
                </w:p>
                <w:p>
                  <w:pPr>
                    <w:pStyle w:val="null3"/>
                  </w:pPr>
                  <w:r>
                    <w:rPr>
                      <w:rFonts w:ascii="仿宋_GB2312" w:hAnsi="仿宋_GB2312" w:cs="仿宋_GB2312" w:eastAsia="仿宋_GB2312"/>
                      <w:sz w:val="21"/>
                      <w:color w:val="000000"/>
                    </w:rPr>
                    <w:t>2.喷头</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p>
                  <w:pPr>
                    <w:pStyle w:val="null3"/>
                  </w:pPr>
                  <w:r>
                    <w:rPr>
                      <w:rFonts w:ascii="仿宋_GB2312" w:hAnsi="仿宋_GB2312" w:cs="仿宋_GB2312" w:eastAsia="仿宋_GB2312"/>
                      <w:sz w:val="21"/>
                      <w:color w:val="000000"/>
                    </w:rPr>
                    <w:t>3.旋翼数量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p>
                <w:p>
                  <w:pPr>
                    <w:pStyle w:val="null3"/>
                  </w:pPr>
                  <w:r>
                    <w:rPr>
                      <w:rFonts w:ascii="仿宋_GB2312" w:hAnsi="仿宋_GB2312" w:cs="仿宋_GB2312" w:eastAsia="仿宋_GB2312"/>
                      <w:sz w:val="21"/>
                      <w:color w:val="000000"/>
                    </w:rPr>
                    <w:t>4.动力方式：电动</w:t>
                  </w:r>
                </w:p>
                <w:p>
                  <w:pPr>
                    <w:pStyle w:val="null3"/>
                    <w:ind w:right="30"/>
                  </w:pPr>
                  <w:r>
                    <w:rPr>
                      <w:rFonts w:ascii="仿宋_GB2312" w:hAnsi="仿宋_GB2312" w:cs="仿宋_GB2312" w:eastAsia="仿宋_GB2312"/>
                      <w:sz w:val="21"/>
                      <w:color w:val="000000"/>
                    </w:rPr>
                    <w:t>5.带播撒器</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烘干机</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1.处理量≥15T。</w:t>
                  </w:r>
                </w:p>
                <w:p>
                  <w:pPr>
                    <w:pStyle w:val="null3"/>
                  </w:pPr>
                  <w:r>
                    <w:rPr>
                      <w:rFonts w:ascii="仿宋_GB2312" w:hAnsi="仿宋_GB2312" w:cs="仿宋_GB2312" w:eastAsia="仿宋_GB2312"/>
                      <w:sz w:val="21"/>
                      <w:color w:val="000000"/>
                    </w:rPr>
                    <w:t>2.热风温度</w:t>
                  </w:r>
                  <w:r>
                    <w:rPr>
                      <w:rFonts w:ascii="仿宋_GB2312" w:hAnsi="仿宋_GB2312" w:cs="仿宋_GB2312" w:eastAsia="仿宋_GB2312"/>
                      <w:sz w:val="17"/>
                      <w:color w:val="000000"/>
                      <w:shd w:fill="F9F9F9" w:val="clear"/>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度</w:t>
                  </w:r>
                </w:p>
                <w:p>
                  <w:pPr>
                    <w:pStyle w:val="null3"/>
                  </w:pPr>
                  <w:r>
                    <w:rPr>
                      <w:rFonts w:ascii="仿宋_GB2312" w:hAnsi="仿宋_GB2312" w:cs="仿宋_GB2312" w:eastAsia="仿宋_GB2312"/>
                      <w:sz w:val="21"/>
                      <w:color w:val="000000"/>
                    </w:rPr>
                    <w:t>3.结构型式 批式循环</w:t>
                  </w:r>
                </w:p>
                <w:p>
                  <w:pPr>
                    <w:pStyle w:val="null3"/>
                  </w:pPr>
                  <w:r>
                    <w:rPr>
                      <w:rFonts w:ascii="仿宋_GB2312" w:hAnsi="仿宋_GB2312" w:cs="仿宋_GB2312" w:eastAsia="仿宋_GB2312"/>
                      <w:sz w:val="21"/>
                      <w:color w:val="000000"/>
                    </w:rPr>
                    <w:t>4.干燥速率（批式）：</w:t>
                  </w:r>
                  <w:r>
                    <w:rPr>
                      <w:rFonts w:ascii="仿宋_GB2312" w:hAnsi="仿宋_GB2312" w:cs="仿宋_GB2312" w:eastAsia="仿宋_GB2312"/>
                      <w:sz w:val="21"/>
                      <w:color w:val="000000"/>
                    </w:rPr>
                    <w:t>≥</w:t>
                  </w:r>
                  <w:r>
                    <w:rPr>
                      <w:rFonts w:ascii="仿宋_GB2312" w:hAnsi="仿宋_GB2312" w:cs="仿宋_GB2312" w:eastAsia="仿宋_GB2312"/>
                      <w:sz w:val="21"/>
                      <w:color w:val="000000"/>
                    </w:rPr>
                    <w:t>1%/h</w:t>
                  </w:r>
                </w:p>
                <w:p>
                  <w:pPr>
                    <w:pStyle w:val="null3"/>
                  </w:pPr>
                  <w:r>
                    <w:rPr>
                      <w:rFonts w:ascii="仿宋_GB2312" w:hAnsi="仿宋_GB2312" w:cs="仿宋_GB2312" w:eastAsia="仿宋_GB2312"/>
                      <w:sz w:val="21"/>
                      <w:color w:val="000000"/>
                    </w:rPr>
                    <w:t>5.设备总高度：≤8m。</w:t>
                  </w:r>
                </w:p>
                <w:p>
                  <w:pPr>
                    <w:pStyle w:val="null3"/>
                  </w:pPr>
                  <w:r>
                    <w:rPr>
                      <w:rFonts w:ascii="仿宋_GB2312" w:hAnsi="仿宋_GB2312" w:cs="仿宋_GB2312" w:eastAsia="仿宋_GB2312"/>
                      <w:sz w:val="21"/>
                      <w:color w:val="000000"/>
                    </w:rPr>
                    <w:t>6.燃料种类：生物质颗粒。</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1.整机外廓包含驾驶室</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发动机标定功率（千瓦）</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驱动形式，四驱</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轴距（</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1900</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档位</w:t>
                  </w:r>
                  <w:r>
                    <w:rPr>
                      <w:rFonts w:ascii="仿宋_GB2312" w:hAnsi="仿宋_GB2312" w:cs="仿宋_GB2312" w:eastAsia="仿宋_GB2312"/>
                      <w:sz w:val="21"/>
                      <w:color w:val="000000"/>
                    </w:rPr>
                    <w:t>≥</w:t>
                  </w:r>
                  <w:r>
                    <w:rPr>
                      <w:rFonts w:ascii="仿宋_GB2312" w:hAnsi="仿宋_GB2312" w:cs="仿宋_GB2312" w:eastAsia="仿宋_GB2312"/>
                      <w:sz w:val="21"/>
                      <w:color w:val="000000"/>
                    </w:rPr>
                    <w:t>12+12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pPr>
              <w:pStyle w:val="null3"/>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以上参数</w:t>
            </w:r>
            <w:r>
              <w:rPr>
                <w:rFonts w:ascii="仿宋_GB2312" w:hAnsi="仿宋_GB2312" w:cs="仿宋_GB2312" w:eastAsia="仿宋_GB2312"/>
                <w:sz w:val="24"/>
                <w:b/>
                <w:color w:val="000000"/>
              </w:rPr>
              <w:t>不得负偏离。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2"/>
                <w:color w:val="000000"/>
              </w:rPr>
              <w:t>1、</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须列明投标货物的全套项目配置清单、单价。</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选定的投标货物技术性能必须符合或优于招标文件的技术性能要求。</w:t>
            </w:r>
          </w:p>
          <w:p>
            <w:pPr>
              <w:pStyle w:val="null3"/>
              <w:ind w:firstLine="440"/>
            </w:pPr>
            <w:r>
              <w:rPr>
                <w:rFonts w:ascii="仿宋_GB2312" w:hAnsi="仿宋_GB2312" w:cs="仿宋_GB2312" w:eastAsia="仿宋_GB2312"/>
                <w:sz w:val="22"/>
                <w:color w:val="000000"/>
              </w:rPr>
              <w:t>2、</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对每种货物只允许有一种品牌和一个报价，采购人不接受有任何选择性的品牌和报价。</w:t>
            </w:r>
          </w:p>
          <w:p>
            <w:pPr>
              <w:pStyle w:val="null3"/>
              <w:ind w:firstLine="440"/>
            </w:pPr>
            <w:r>
              <w:rPr>
                <w:rFonts w:ascii="仿宋_GB2312" w:hAnsi="仿宋_GB2312" w:cs="仿宋_GB2312" w:eastAsia="仿宋_GB2312"/>
                <w:sz w:val="22"/>
                <w:color w:val="000000"/>
              </w:rPr>
              <w:t>3、本</w:t>
            </w:r>
            <w:r>
              <w:rPr>
                <w:rFonts w:ascii="仿宋_GB2312" w:hAnsi="仿宋_GB2312" w:cs="仿宋_GB2312" w:eastAsia="仿宋_GB2312"/>
                <w:sz w:val="22"/>
                <w:color w:val="000000"/>
              </w:rPr>
              <w:t>采购</w:t>
            </w:r>
            <w:r>
              <w:rPr>
                <w:rFonts w:ascii="仿宋_GB2312" w:hAnsi="仿宋_GB2312" w:cs="仿宋_GB2312" w:eastAsia="仿宋_GB2312"/>
                <w:sz w:val="22"/>
                <w:color w:val="000000"/>
              </w:rPr>
              <w:t>文件的技术参数和规格条款，是</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必须达到的基本要求。设备材料是否为同档次或优于技术参数及要求由评标委员会负责认定。技术参数和规格条款若出现重大负偏离的，其投标将被拒绝。</w:t>
            </w:r>
          </w:p>
          <w:p>
            <w:pPr>
              <w:pStyle w:val="null3"/>
              <w:ind w:firstLine="440"/>
            </w:pPr>
            <w:r>
              <w:rPr>
                <w:rFonts w:ascii="仿宋_GB2312" w:hAnsi="仿宋_GB2312" w:cs="仿宋_GB2312" w:eastAsia="仿宋_GB2312"/>
                <w:sz w:val="22"/>
                <w:color w:val="000000"/>
              </w:rPr>
              <w:t>4、货物应是全新的经检验合格的产品，完全符合招标采购规定的质量、规格和性能等要求，配完整的出厂配置及附件。</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应保证其提供的货物在正确安装、正常使用和保养条件下，在规定的使用寿命期内具有满意的性能。</w:t>
            </w:r>
          </w:p>
          <w:p>
            <w:pPr>
              <w:pStyle w:val="null3"/>
              <w:ind w:firstLine="440"/>
            </w:pPr>
            <w:r>
              <w:rPr>
                <w:rFonts w:ascii="仿宋_GB2312" w:hAnsi="仿宋_GB2312" w:cs="仿宋_GB2312" w:eastAsia="仿宋_GB2312"/>
                <w:sz w:val="22"/>
                <w:color w:val="000000"/>
              </w:rPr>
              <w:t>5、涉及的商品包装和快递包装，均应符合《商品包装政府采购需求标准（试行）》《快递包装政府采购需求标准（试行）》的要求，包装应适应于远距离运输、防潮、防震、防锈和防野蛮装卸，以确保货物安全无损运抵指定地点。</w:t>
            </w:r>
            <w:r>
              <w:rPr>
                <w:rFonts w:ascii="仿宋_GB2312" w:hAnsi="仿宋_GB2312" w:cs="仿宋_GB2312" w:eastAsia="仿宋_GB2312"/>
                <w:sz w:val="22"/>
                <w:color w:val="000000"/>
              </w:rPr>
              <w:t>凡由于包装不良造成的损失和由此产生的费用均由中标人承担。</w:t>
            </w:r>
          </w:p>
          <w:p>
            <w:pPr>
              <w:pStyle w:val="null3"/>
              <w:ind w:firstLine="440"/>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所提供的货物除特定的外接设备外，对其余外接设备所提供的软、硬件等（如接口设备、缆线、软件、附件等，包括招标文件中未列出而系统实施又必需的软件、硬件）需配齐，以构成一套实用系统。如果</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在中标并签署合同后，在供货或系统集成时出现软、硬件的任何遗漏，均必须由中标人免费提供。</w:t>
            </w:r>
          </w:p>
          <w:p>
            <w:pPr>
              <w:pStyle w:val="null3"/>
              <w:ind w:firstLine="440"/>
            </w:pPr>
            <w:r>
              <w:rPr>
                <w:rFonts w:ascii="仿宋_GB2312" w:hAnsi="仿宋_GB2312" w:cs="仿宋_GB2312" w:eastAsia="仿宋_GB2312"/>
                <w:sz w:val="22"/>
                <w:color w:val="000000"/>
              </w:rPr>
              <w:t>7</w:t>
            </w:r>
            <w:r>
              <w:rPr>
                <w:rFonts w:ascii="仿宋_GB2312" w:hAnsi="仿宋_GB2312" w:cs="仿宋_GB2312" w:eastAsia="仿宋_GB2312"/>
                <w:sz w:val="22"/>
                <w:color w:val="000000"/>
              </w:rPr>
              <w:t>、中标供应商在验收合格后必须提供给采购人完整的技术资料，包括产品技术标准</w:t>
            </w:r>
            <w:r>
              <w:rPr>
                <w:rFonts w:ascii="仿宋_GB2312" w:hAnsi="仿宋_GB2312" w:cs="仿宋_GB2312" w:eastAsia="仿宋_GB2312"/>
                <w:sz w:val="22"/>
                <w:color w:val="000000"/>
              </w:rPr>
              <w:t>(含验收标准)、安装调试使用保养维修手册、产品原产地出厂合格证及出厂货物明细表等。</w:t>
            </w:r>
          </w:p>
          <w:p>
            <w:pPr>
              <w:pStyle w:val="null3"/>
              <w:ind w:firstLine="48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设备供货、安装调试、质量检查等最终验收合格后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1.验收标准：本《招标文件》要求的执行标准、材料设备制造厂家的产品标准、招标文件第三部分规定的技术要求、《招标文件》的承诺进行验收。 2.验收程序： a.出厂检验:中标供应商在货物出厂前,应按产品技术标准规定的检验项目和试验方法进行全面检验,卖方应随同货物提供出厂检验报告、产品质量合格证。 b.货物运达采购单位安装现场后，由采购单位进行质量和数量的验收（但不作为最终合格的保证），应达到合同规定的要求。 c.本次采购货物的安装调试，检验结果应符合制造厂产品标准、国家有关标准和采购文件规定的技术要求。 d.本次采购的设备安装调试结束后，由中标供应商会同采购单位按双方规定的标准及合同要求进行联合验收。 供应商按规定的标准要求进行联合最终验收，验收合格后办理相关手续。 3.验收依据 3.1合同文本及合同补充文件（条款）。 3.2产品的合法来源渠道证明文件。 3.3招标文件。 3.4成交供应商的竞争性谈判响应文件。 3.5合同货物清单。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1.质保期为1年。 2.成交供应商承诺的质保期起始时间为终验合格之日。 3.所有货物质量必须符合国家有关规范和相关政策。 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一年内任意一个月的依法缴纳的税收和社保证明（社会保障资金缴存单据或社保机构开具的社会保险参保缴费情况证明）；依法免税或不需要缴纳社会保障资金的应提供相关证明材料；2.参加政府采购活动前三年内，在经营活动中没有重大违法记录的书面声明；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供应商需在项目电子化交易系统中按要求上传相应证明文件并进行电子签章。提供2023年或2024年经审计的财务审计报告 (成立时间至开标时间不足一年的可提供成立后任意时段的资产负债表）或开标截止时间前六个月内其基本账户银行出具的资信证明或政府采购信用担保机构出具的担保函；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标的清单 投标文件封面 项目投入主要人员汇总表.docx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基础技术分</w:t>
            </w:r>
          </w:p>
        </w:tc>
        <w:tc>
          <w:tcPr>
            <w:tcW w:type="dxa" w:w="2492"/>
          </w:tcPr>
          <w:p>
            <w:pPr>
              <w:pStyle w:val="null3"/>
            </w:pPr>
            <w:r>
              <w:rPr>
                <w:rFonts w:ascii="仿宋_GB2312" w:hAnsi="仿宋_GB2312" w:cs="仿宋_GB2312" w:eastAsia="仿宋_GB2312"/>
              </w:rPr>
              <w:t>1、针对招标产品，响应内容齐全，设备选型配套完整，符合技术方案要求。根据响应情况计0-6分。 2、技术参数基本分16分：全部符合招标文件，得16分，未附支持文件（支持文件包括但不限于：产品彩页、产品说明书、相关功能截图、检测报告等）的每少一项扣1分，扣完为止。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1、具有完善的项目组织管理机构，分工明确，责任落实到具体人员的 得0-3分； 2、项目实施人员配备充足合理的，能充分满足供货及安装期，能保证项目实施质量的得0-3分。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项目投入主要人员汇总表.docx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投标人提供的实施方案，要求详细、具体、可行和描述合理、完整，有具体的供货组织安排，详细的人员、财力调配、运输等说明。根据响应情况计0-12分.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1、产品渠道正常，投标人需提供产品来源渠道证明文件,每提供一项得1分，最高得3分，未提供不得分。 2、产品性能稳定，具有较好的使用效果，质量保证完善，符合国内相关标准。根据响应情况计0～7分。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售后服务方案（提供服务承诺和保障措施），包括响应产品的保修时间、保修期内的保修内容与范围等。评标委员会对售后服务方案及质量保证承诺进行评审，根据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供应商近五年已承接的类似业绩（政府采购或企业市场销售均可），有一个得5分，否则不得分，最高得10分。 注：①业绩时间以合同协议书最终签署日期为准； ②企业业绩以合同协议书复印件或中标通知书复印件为准；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