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年1月至截标时间前同类施工项目业绩（以合同或中标通知书为准，须在磋商响应文件中附以上证明材料的扫描件加盖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>单位公章，弄虚作假者，取消其成交资格。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_bookmark16"/>
      <w:bookmarkEnd w:id="0"/>
      <w:bookmarkStart w:id="1" w:name="_bookmark22"/>
      <w:bookmarkEnd w:id="1"/>
      <w:bookmarkStart w:id="2" w:name=" 第六部分 采购内容及要求"/>
      <w:bookmarkEnd w:id="2"/>
      <w:bookmarkStart w:id="3" w:name="附件7 服务方案"/>
      <w:bookmarkEnd w:id="3"/>
      <w:bookmarkStart w:id="4" w:name="附件13 其他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45DB2EF8"/>
    <w:rsid w:val="54197D97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138</Characters>
  <Lines>0</Lines>
  <Paragraphs>0</Paragraphs>
  <TotalTime>0</TotalTime>
  <ScaleCrop>false</ScaleCrop>
  <LinksUpToDate>false</LinksUpToDate>
  <CharactersWithSpaces>198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听说</cp:lastModifiedBy>
  <dcterms:modified xsi:type="dcterms:W3CDTF">2025-06-03T00:40:11Z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