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版本号：ZXGJLTFGS-2025--01020250611001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高考实时智能巡查全覆盖建设项目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ZXGJLTFGS-2025--010</w:t>
      </w:r>
      <w:r>
        <w:br/>
      </w:r>
      <w:r>
        <w:br/>
      </w:r>
      <w:r>
        <w:br/>
      </w:r>
    </w:p>
    <w:p>
      <w:pPr>
        <w:pStyle w:val="null3"/>
        <w:jc w:val="center"/>
        <w:outlineLvl w:val="2"/>
      </w:pPr>
      <w:r>
        <w:rPr>
          <w:rFonts w:ascii="仿宋_GB2312" w:hAnsi="仿宋_GB2312" w:cs="仿宋_GB2312" w:eastAsia="仿宋_GB2312"/>
          <w:sz w:val="28"/>
          <w:b/>
        </w:rPr>
        <w:t>西安市临潼区教育局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西安市临潼区教育局</w:t>
      </w:r>
      <w:r>
        <w:rPr>
          <w:rFonts w:ascii="仿宋_GB2312" w:hAnsi="仿宋_GB2312" w:cs="仿宋_GB2312" w:eastAsia="仿宋_GB2312"/>
        </w:rPr>
        <w:t>委托，拟对</w:t>
      </w:r>
      <w:r>
        <w:rPr>
          <w:rFonts w:ascii="仿宋_GB2312" w:hAnsi="仿宋_GB2312" w:cs="仿宋_GB2312" w:eastAsia="仿宋_GB2312"/>
        </w:rPr>
        <w:t>高考实时智能巡查全覆盖建设项目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ZXGJLTFGS-2025--010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高考实时智能巡查全覆盖建设项目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高考实时智能巡查全覆盖。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1、法定代表人授权书或身份证明：提供法定代表人授权书（附法定代表人、被授权人身份证复印件）（法定代表人直接参加磋商，须提供法定代表人身份证明）；非法人单位参照执行；</w:t>
      </w:r>
    </w:p>
    <w:p>
      <w:pPr>
        <w:pStyle w:val="null3"/>
      </w:pPr>
      <w:r>
        <w:rPr>
          <w:rFonts w:ascii="仿宋_GB2312" w:hAnsi="仿宋_GB2312" w:cs="仿宋_GB2312" w:eastAsia="仿宋_GB2312"/>
        </w:rPr>
        <w:t>2、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临潼区人民东路55号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02983817125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门哲西、王超、王涛、李博飞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029-83938602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代理服务费收费标准：成交单位在领取成交通知书前一次性支付该费用。 （1）招标代理费金额以中标金额为基数参照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857号）、《国家发展改革委关于降低部分建设项目收费标准规范收费行为等有关问题的通知》（发改价格〔2011〕534号）的有关规定执行。 （2）招标代理服务费账户：名称：中昕国际项目管理有限公司临潼分公司 开户行：中国工商银行股份有限公司西安临潼区支行 账号：3700029209200213959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西安市临潼区教育局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联系人：门哲西</w:t>
      </w:r>
    </w:p>
    <w:p>
      <w:pPr>
        <w:pStyle w:val="null3"/>
      </w:pPr>
      <w:r>
        <w:rPr>
          <w:rFonts w:ascii="仿宋_GB2312" w:hAnsi="仿宋_GB2312" w:cs="仿宋_GB2312" w:eastAsia="仿宋_GB2312"/>
        </w:rPr>
        <w:t>联系电话：02983938602</w:t>
      </w:r>
    </w:p>
    <w:p>
      <w:pPr>
        <w:pStyle w:val="null3"/>
      </w:pPr>
      <w:r>
        <w:rPr>
          <w:rFonts w:ascii="仿宋_GB2312" w:hAnsi="仿宋_GB2312" w:cs="仿宋_GB2312" w:eastAsia="仿宋_GB2312"/>
        </w:rPr>
        <w:t>地址：西安市临潼区东关街与人民东路交叉口南100米建筑工程公司院内</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高考实时智能巡查全覆盖。</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货物技术要求中的</w:t>
            </w:r>
            <w:r>
              <w:rPr>
                <w:rFonts w:ascii="仿宋_GB2312" w:hAnsi="仿宋_GB2312" w:cs="仿宋_GB2312" w:eastAsia="仿宋_GB2312"/>
                <w:sz w:val="24"/>
                <w:b/>
              </w:rPr>
              <w:t>技术参数</w:t>
            </w:r>
            <w:r>
              <w:rPr>
                <w:rFonts w:ascii="仿宋_GB2312" w:hAnsi="仿宋_GB2312" w:cs="仿宋_GB2312" w:eastAsia="仿宋_GB2312"/>
                <w:sz w:val="24"/>
                <w:b/>
              </w:rPr>
              <w:t>均</w:t>
            </w:r>
            <w:r>
              <w:rPr>
                <w:rFonts w:ascii="仿宋_GB2312" w:hAnsi="仿宋_GB2312" w:cs="仿宋_GB2312" w:eastAsia="仿宋_GB2312"/>
                <w:sz w:val="24"/>
                <w:b/>
              </w:rPr>
              <w:t>需提供：相应的功能证明材料（包括但不限于测试报告、官网和功能截图等）</w:t>
            </w:r>
          </w:p>
          <w:p>
            <w:pPr>
              <w:pStyle w:val="null3"/>
              <w:ind w:firstLine="402"/>
              <w:jc w:val="both"/>
            </w:pPr>
            <w:r>
              <w:rPr>
                <w:rFonts w:ascii="仿宋_GB2312" w:hAnsi="仿宋_GB2312" w:cs="仿宋_GB2312" w:eastAsia="仿宋_GB2312"/>
                <w:sz w:val="24"/>
                <w:b/>
              </w:rPr>
              <w:t>二</w:t>
            </w:r>
            <w:r>
              <w:rPr>
                <w:rFonts w:ascii="仿宋_GB2312" w:hAnsi="仿宋_GB2312" w:cs="仿宋_GB2312" w:eastAsia="仿宋_GB2312"/>
                <w:sz w:val="24"/>
                <w:b/>
              </w:rPr>
              <w:t>、核心产品名称：</w:t>
            </w:r>
            <w:r>
              <w:rPr>
                <w:rFonts w:ascii="仿宋_GB2312" w:hAnsi="仿宋_GB2312" w:cs="仿宋_GB2312" w:eastAsia="仿宋_GB2312"/>
                <w:b/>
                <w:u w:val="single"/>
              </w:rPr>
              <w:t xml:space="preserve"> </w:t>
            </w:r>
            <w:r>
              <w:rPr>
                <w:rFonts w:ascii="仿宋_GB2312" w:hAnsi="仿宋_GB2312" w:cs="仿宋_GB2312" w:eastAsia="仿宋_GB2312"/>
                <w:sz w:val="24"/>
                <w:b/>
                <w:u w:val="single"/>
              </w:rPr>
              <w:t>智能监考平台（校级）</w:t>
            </w:r>
            <w:r>
              <w:rPr>
                <w:rFonts w:ascii="仿宋_GB2312" w:hAnsi="仿宋_GB2312" w:cs="仿宋_GB2312" w:eastAsia="仿宋_GB2312"/>
                <w:b/>
                <w:u w:val="single"/>
              </w:rPr>
              <w:t xml:space="preserve"> </w:t>
            </w:r>
          </w:p>
          <w:p>
            <w:pPr>
              <w:pStyle w:val="null3"/>
              <w:ind w:firstLine="402"/>
              <w:jc w:val="both"/>
            </w:pPr>
            <w:r>
              <w:rPr>
                <w:rFonts w:ascii="仿宋_GB2312" w:hAnsi="仿宋_GB2312" w:cs="仿宋_GB2312" w:eastAsia="仿宋_GB2312"/>
                <w:sz w:val="24"/>
                <w:b/>
              </w:rPr>
              <w:t>三、具体采购清单：</w:t>
            </w:r>
          </w:p>
          <w:tbl>
            <w:tblPr>
              <w:tblBorders>
                <w:top w:val="none" w:color="000000" w:sz="4"/>
                <w:left w:val="none" w:color="000000" w:sz="4"/>
                <w:bottom w:val="none" w:color="000000" w:sz="4"/>
                <w:right w:val="none" w:color="000000" w:sz="4"/>
                <w:insideH w:val="none"/>
                <w:insideV w:val="none"/>
              </w:tblBorders>
            </w:tblPr>
            <w:tblGrid>
              <w:gridCol w:w="242"/>
              <w:gridCol w:w="656"/>
              <w:gridCol w:w="758"/>
              <w:gridCol w:w="336"/>
              <w:gridCol w:w="545"/>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学校名称</w:t>
                  </w:r>
                </w:p>
              </w:tc>
              <w:tc>
                <w:tcPr>
                  <w:tcW w:type="dxa" w:w="7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2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华清中学</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智能监考平台（校级）</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2"/>
                  <w:vMerge/>
                  <w:tcBorders>
                    <w:top w:val="none" w:color="000000" w:sz="4"/>
                    <w:left w:val="single" w:color="000000" w:sz="4"/>
                    <w:bottom w:val="single" w:color="000000" w:sz="4"/>
                    <w:right w:val="single" w:color="000000" w:sz="4"/>
                  </w:tcBorders>
                </w:tcPr>
                <w:p/>
              </w:tc>
              <w:tc>
                <w:tcPr>
                  <w:tcW w:type="dxa" w:w="656"/>
                  <w:vMerge/>
                  <w:tcBorders>
                    <w:top w:val="none" w:color="000000" w:sz="4"/>
                    <w:left w:val="single" w:color="000000" w:sz="4"/>
                    <w:bottom w:val="single" w:color="000000" w:sz="4"/>
                    <w:right w:val="single" w:color="000000" w:sz="4"/>
                  </w:tcBorders>
                </w:tc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工作站</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2"/>
                  <w:vMerge/>
                  <w:tcBorders>
                    <w:top w:val="none" w:color="000000" w:sz="4"/>
                    <w:left w:val="single" w:color="000000" w:sz="4"/>
                    <w:bottom w:val="single" w:color="000000" w:sz="4"/>
                    <w:right w:val="single" w:color="000000" w:sz="4"/>
                  </w:tcBorders>
                </w:tcPr>
                <w:p/>
              </w:tc>
              <w:tc>
                <w:tcPr>
                  <w:tcW w:type="dxa" w:w="656"/>
                  <w:vMerge/>
                  <w:tcBorders>
                    <w:top w:val="none" w:color="000000" w:sz="4"/>
                    <w:left w:val="single" w:color="000000" w:sz="4"/>
                    <w:bottom w:val="single" w:color="000000" w:sz="4"/>
                    <w:right w:val="single" w:color="000000" w:sz="4"/>
                  </w:tcBorders>
                </w:tc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智能分析平台</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2"/>
                  <w:vMerge/>
                  <w:tcBorders>
                    <w:top w:val="none" w:color="000000" w:sz="4"/>
                    <w:left w:val="single" w:color="000000" w:sz="4"/>
                    <w:bottom w:val="single" w:color="000000" w:sz="4"/>
                    <w:right w:val="single" w:color="000000" w:sz="4"/>
                  </w:tcBorders>
                </w:tcPr>
                <w:p/>
              </w:tc>
              <w:tc>
                <w:tcPr>
                  <w:tcW w:type="dxa" w:w="656"/>
                  <w:vMerge/>
                  <w:tcBorders>
                    <w:top w:val="none" w:color="000000" w:sz="4"/>
                    <w:left w:val="single" w:color="000000" w:sz="4"/>
                    <w:bottom w:val="single" w:color="000000" w:sz="4"/>
                    <w:right w:val="single" w:color="000000" w:sz="4"/>
                  </w:tcBorders>
                </w:tc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终端主机</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临潼中学</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智能监考平台（校级）</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2"/>
                  <w:vMerge/>
                  <w:tcBorders>
                    <w:top w:val="none" w:color="000000" w:sz="4"/>
                    <w:left w:val="single" w:color="000000" w:sz="4"/>
                    <w:bottom w:val="single" w:color="000000" w:sz="4"/>
                    <w:right w:val="single" w:color="000000" w:sz="4"/>
                  </w:tcBorders>
                </w:tcPr>
                <w:p/>
              </w:tc>
              <w:tc>
                <w:tcPr>
                  <w:tcW w:type="dxa" w:w="656"/>
                  <w:vMerge/>
                  <w:tcBorders>
                    <w:top w:val="none" w:color="000000" w:sz="4"/>
                    <w:left w:val="single" w:color="000000" w:sz="4"/>
                    <w:bottom w:val="single" w:color="000000" w:sz="4"/>
                    <w:right w:val="single" w:color="000000" w:sz="4"/>
                  </w:tcBorders>
                </w:tc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工作站</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2"/>
                  <w:vMerge/>
                  <w:tcBorders>
                    <w:top w:val="none" w:color="000000" w:sz="4"/>
                    <w:left w:val="single" w:color="000000" w:sz="4"/>
                    <w:bottom w:val="single" w:color="000000" w:sz="4"/>
                    <w:right w:val="single" w:color="000000" w:sz="4"/>
                  </w:tcBorders>
                </w:tcPr>
                <w:p/>
              </w:tc>
              <w:tc>
                <w:tcPr>
                  <w:tcW w:type="dxa" w:w="656"/>
                  <w:vMerge/>
                  <w:tcBorders>
                    <w:top w:val="none" w:color="000000" w:sz="4"/>
                    <w:left w:val="single" w:color="000000" w:sz="4"/>
                    <w:bottom w:val="single" w:color="000000" w:sz="4"/>
                    <w:right w:val="single" w:color="000000" w:sz="4"/>
                  </w:tcBorders>
                </w:tc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智能分析平台</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2"/>
                  <w:vMerge/>
                  <w:tcBorders>
                    <w:top w:val="none" w:color="000000" w:sz="4"/>
                    <w:left w:val="single" w:color="000000" w:sz="4"/>
                    <w:bottom w:val="single" w:color="000000" w:sz="4"/>
                    <w:right w:val="single" w:color="000000" w:sz="4"/>
                  </w:tcBorders>
                </w:tcPr>
                <w:p/>
              </w:tc>
              <w:tc>
                <w:tcPr>
                  <w:tcW w:type="dxa" w:w="656"/>
                  <w:vMerge/>
                  <w:tcBorders>
                    <w:top w:val="none" w:color="000000" w:sz="4"/>
                    <w:left w:val="single" w:color="000000" w:sz="4"/>
                    <w:bottom w:val="single" w:color="000000" w:sz="4"/>
                    <w:right w:val="single" w:color="000000" w:sz="4"/>
                  </w:tcBorders>
                </w:tc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终端主机</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铁路中学</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智能监考平台（校级）</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2"/>
                  <w:vMerge/>
                  <w:tcBorders>
                    <w:top w:val="none" w:color="000000" w:sz="4"/>
                    <w:left w:val="single" w:color="000000" w:sz="4"/>
                    <w:bottom w:val="single" w:color="000000" w:sz="4"/>
                    <w:right w:val="single" w:color="000000" w:sz="4"/>
                  </w:tcBorders>
                </w:tcPr>
                <w:p/>
              </w:tc>
              <w:tc>
                <w:tcPr>
                  <w:tcW w:type="dxa" w:w="656"/>
                  <w:vMerge/>
                  <w:tcBorders>
                    <w:top w:val="none" w:color="000000" w:sz="4"/>
                    <w:left w:val="single" w:color="000000" w:sz="4"/>
                    <w:bottom w:val="single" w:color="000000" w:sz="4"/>
                    <w:right w:val="single" w:color="000000" w:sz="4"/>
                  </w:tcBorders>
                </w:tc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工作站</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2"/>
                  <w:vMerge/>
                  <w:tcBorders>
                    <w:top w:val="none" w:color="000000" w:sz="4"/>
                    <w:left w:val="single" w:color="000000" w:sz="4"/>
                    <w:bottom w:val="single" w:color="000000" w:sz="4"/>
                    <w:right w:val="single" w:color="000000" w:sz="4"/>
                  </w:tcBorders>
                </w:tcPr>
                <w:p/>
              </w:tc>
              <w:tc>
                <w:tcPr>
                  <w:tcW w:type="dxa" w:w="656"/>
                  <w:vMerge/>
                  <w:tcBorders>
                    <w:top w:val="none" w:color="000000" w:sz="4"/>
                    <w:left w:val="single" w:color="000000" w:sz="4"/>
                    <w:bottom w:val="single" w:color="000000" w:sz="4"/>
                    <w:right w:val="single" w:color="000000" w:sz="4"/>
                  </w:tcBorders>
                </w:tc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智能分析平台</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2"/>
                  <w:vMerge/>
                  <w:tcBorders>
                    <w:top w:val="none" w:color="000000" w:sz="4"/>
                    <w:left w:val="single" w:color="000000" w:sz="4"/>
                    <w:bottom w:val="single" w:color="000000" w:sz="4"/>
                    <w:right w:val="single" w:color="000000" w:sz="4"/>
                  </w:tcBorders>
                </w:tcPr>
                <w:p/>
              </w:tc>
              <w:tc>
                <w:tcPr>
                  <w:tcW w:type="dxa" w:w="656"/>
                  <w:vMerge/>
                  <w:tcBorders>
                    <w:top w:val="none" w:color="000000" w:sz="4"/>
                    <w:left w:val="single" w:color="000000" w:sz="4"/>
                    <w:bottom w:val="single" w:color="000000" w:sz="4"/>
                    <w:right w:val="single" w:color="000000" w:sz="4"/>
                  </w:tcBorders>
                </w:tc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终端主机</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2"/>
                  <w:vMerge/>
                  <w:tcBorders>
                    <w:top w:val="none" w:color="000000" w:sz="4"/>
                    <w:left w:val="single" w:color="000000" w:sz="4"/>
                    <w:bottom w:val="single" w:color="000000" w:sz="4"/>
                    <w:right w:val="single" w:color="000000" w:sz="4"/>
                  </w:tcBorders>
                </w:tcPr>
                <w:p/>
              </w:tc>
              <w:tc>
                <w:tcPr>
                  <w:tcW w:type="dxa" w:w="656"/>
                  <w:vMerge/>
                  <w:tcBorders>
                    <w:top w:val="none" w:color="000000" w:sz="4"/>
                    <w:left w:val="single" w:color="000000" w:sz="4"/>
                    <w:bottom w:val="single" w:color="000000" w:sz="4"/>
                    <w:right w:val="single" w:color="000000" w:sz="4"/>
                  </w:tcBorders>
                </w:tc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UPS不间断电源</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2"/>
                  <w:vMerge/>
                  <w:tcBorders>
                    <w:top w:val="none" w:color="000000" w:sz="4"/>
                    <w:left w:val="single" w:color="000000" w:sz="4"/>
                    <w:bottom w:val="single" w:color="000000" w:sz="4"/>
                    <w:right w:val="single" w:color="000000" w:sz="4"/>
                  </w:tcBorders>
                </w:tcPr>
                <w:p/>
              </w:tc>
              <w:tc>
                <w:tcPr>
                  <w:tcW w:type="dxa" w:w="656"/>
                  <w:vMerge/>
                  <w:tcBorders>
                    <w:top w:val="none" w:color="000000" w:sz="4"/>
                    <w:left w:val="single" w:color="000000" w:sz="4"/>
                    <w:bottom w:val="single" w:color="000000" w:sz="4"/>
                    <w:right w:val="single" w:color="000000" w:sz="4"/>
                  </w:tcBorders>
                </w:tc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机房专业配电箱</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骊山中学</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智能监考平台（校级）</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2"/>
                  <w:vMerge/>
                  <w:tcBorders>
                    <w:top w:val="none" w:color="000000" w:sz="4"/>
                    <w:left w:val="single" w:color="000000" w:sz="4"/>
                    <w:bottom w:val="single" w:color="000000" w:sz="4"/>
                    <w:right w:val="single" w:color="000000" w:sz="4"/>
                  </w:tcBorders>
                </w:tcPr>
                <w:p/>
              </w:tc>
              <w:tc>
                <w:tcPr>
                  <w:tcW w:type="dxa" w:w="656"/>
                  <w:vMerge/>
                  <w:tcBorders>
                    <w:top w:val="none" w:color="000000" w:sz="4"/>
                    <w:left w:val="single" w:color="000000" w:sz="4"/>
                    <w:bottom w:val="single" w:color="000000" w:sz="4"/>
                    <w:right w:val="single" w:color="000000" w:sz="4"/>
                  </w:tcBorders>
                </w:tc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工作站</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2"/>
                  <w:vMerge/>
                  <w:tcBorders>
                    <w:top w:val="none" w:color="000000" w:sz="4"/>
                    <w:left w:val="single" w:color="000000" w:sz="4"/>
                    <w:bottom w:val="single" w:color="000000" w:sz="4"/>
                    <w:right w:val="single" w:color="000000" w:sz="4"/>
                  </w:tcBorders>
                </w:tcPr>
                <w:p/>
              </w:tc>
              <w:tc>
                <w:tcPr>
                  <w:tcW w:type="dxa" w:w="656"/>
                  <w:vMerge/>
                  <w:tcBorders>
                    <w:top w:val="none" w:color="000000" w:sz="4"/>
                    <w:left w:val="single" w:color="000000" w:sz="4"/>
                    <w:bottom w:val="single" w:color="000000" w:sz="4"/>
                    <w:right w:val="single" w:color="000000" w:sz="4"/>
                  </w:tcBorders>
                </w:tc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智能分析平台</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2"/>
                  <w:vMerge/>
                  <w:tcBorders>
                    <w:top w:val="none" w:color="000000" w:sz="4"/>
                    <w:left w:val="single" w:color="000000" w:sz="4"/>
                    <w:bottom w:val="single" w:color="000000" w:sz="4"/>
                    <w:right w:val="single" w:color="000000" w:sz="4"/>
                  </w:tcBorders>
                </w:tcPr>
                <w:p/>
              </w:tc>
              <w:tc>
                <w:tcPr>
                  <w:tcW w:type="dxa" w:w="656"/>
                  <w:vMerge/>
                  <w:tcBorders>
                    <w:top w:val="none" w:color="000000" w:sz="4"/>
                    <w:left w:val="single" w:color="000000" w:sz="4"/>
                    <w:bottom w:val="single" w:color="000000" w:sz="4"/>
                    <w:right w:val="single" w:color="000000" w:sz="4"/>
                  </w:tcBorders>
                </w:tc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终端主机</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2"/>
                  <w:vMerge/>
                  <w:tcBorders>
                    <w:top w:val="none" w:color="000000" w:sz="4"/>
                    <w:left w:val="single" w:color="000000" w:sz="4"/>
                    <w:bottom w:val="single" w:color="000000" w:sz="4"/>
                    <w:right w:val="single" w:color="000000" w:sz="4"/>
                  </w:tcBorders>
                </w:tcPr>
                <w:p/>
              </w:tc>
              <w:tc>
                <w:tcPr>
                  <w:tcW w:type="dxa" w:w="656"/>
                  <w:vMerge/>
                  <w:tcBorders>
                    <w:top w:val="none" w:color="000000" w:sz="4"/>
                    <w:left w:val="single" w:color="000000" w:sz="4"/>
                    <w:bottom w:val="single" w:color="000000" w:sz="4"/>
                    <w:right w:val="single" w:color="000000" w:sz="4"/>
                  </w:tcBorders>
                </w:tc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UPS不间断电源</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2"/>
                  <w:vMerge/>
                  <w:tcBorders>
                    <w:top w:val="none" w:color="000000" w:sz="4"/>
                    <w:left w:val="single" w:color="000000" w:sz="4"/>
                    <w:bottom w:val="single" w:color="000000" w:sz="4"/>
                    <w:right w:val="single" w:color="000000" w:sz="4"/>
                  </w:tcBorders>
                </w:tcPr>
                <w:p/>
              </w:tc>
              <w:tc>
                <w:tcPr>
                  <w:tcW w:type="dxa" w:w="656"/>
                  <w:vMerge/>
                  <w:tcBorders>
                    <w:top w:val="none" w:color="000000" w:sz="4"/>
                    <w:left w:val="single" w:color="000000" w:sz="4"/>
                    <w:bottom w:val="single" w:color="000000" w:sz="4"/>
                    <w:right w:val="single" w:color="000000" w:sz="4"/>
                  </w:tcBorders>
                </w:tc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机房专业配电箱</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bl>
          <w:p>
            <w:pPr>
              <w:pStyle w:val="null3"/>
            </w:pPr>
            <w:r>
              <w:rPr>
                <w:rFonts w:ascii="仿宋_GB2312" w:hAnsi="仿宋_GB2312" w:cs="仿宋_GB2312" w:eastAsia="仿宋_GB2312"/>
                <w:sz w:val="21"/>
                <w:b/>
              </w:rPr>
              <w:t>四</w:t>
            </w:r>
            <w:r>
              <w:rPr>
                <w:rFonts w:ascii="仿宋_GB2312" w:hAnsi="仿宋_GB2312" w:cs="仿宋_GB2312" w:eastAsia="仿宋_GB2312"/>
                <w:sz w:val="21"/>
                <w:b/>
              </w:rPr>
              <w:t>、货物技术</w:t>
            </w:r>
            <w:r>
              <w:rPr>
                <w:rFonts w:ascii="仿宋_GB2312" w:hAnsi="仿宋_GB2312" w:cs="仿宋_GB2312" w:eastAsia="仿宋_GB2312"/>
                <w:sz w:val="21"/>
                <w:b/>
              </w:rPr>
              <w:t>参数一览表</w:t>
            </w:r>
          </w:p>
          <w:tbl>
            <w:tblPr>
              <w:tblBorders>
                <w:top w:val="none" w:color="000000" w:sz="4"/>
                <w:left w:val="none" w:color="000000" w:sz="4"/>
                <w:bottom w:val="none" w:color="000000" w:sz="4"/>
                <w:right w:val="none" w:color="000000" w:sz="4"/>
                <w:insideH w:val="none"/>
                <w:insideV w:val="none"/>
              </w:tblBorders>
            </w:tblPr>
            <w:tblGrid>
              <w:gridCol w:w="101"/>
              <w:gridCol w:w="191"/>
              <w:gridCol w:w="1688"/>
              <w:gridCol w:w="165"/>
              <w:gridCol w:w="150"/>
              <w:gridCol w:w="240"/>
            </w:tblGrid>
            <w:tr>
              <w:tc>
                <w:tcPr>
                  <w:tcW w:type="dxa" w:w="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设备名称</w:t>
                  </w:r>
                </w:p>
              </w:tc>
              <w:tc>
                <w:tcPr>
                  <w:tcW w:type="dxa" w:w="16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所属行业</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智能监考平台（校级）</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智能监考平台（校级）</w:t>
                  </w:r>
                  <w:r>
                    <w:rPr>
                      <w:rFonts w:ascii="仿宋_GB2312" w:hAnsi="仿宋_GB2312" w:cs="仿宋_GB2312" w:eastAsia="仿宋_GB2312"/>
                      <w:sz w:val="22"/>
                      <w:color w:val="000000"/>
                    </w:rPr>
                    <w:t>V3.0</w:t>
                  </w:r>
                  <w:r>
                    <w:br/>
                  </w:r>
                  <w:r>
                    <w:rPr>
                      <w:rFonts w:ascii="仿宋_GB2312" w:hAnsi="仿宋_GB2312" w:cs="仿宋_GB2312" w:eastAsia="仿宋_GB2312"/>
                      <w:sz w:val="22"/>
                      <w:color w:val="000000"/>
                    </w:rPr>
                    <w:t>1.数据同步：支持从上级平台拉取考试任务、场次、机构分析服务器数据、机构摄像头通道数据、通道分析子任务数据。</w:t>
                  </w:r>
                  <w:r>
                    <w:br/>
                  </w:r>
                  <w:r>
                    <w:rPr>
                      <w:rFonts w:ascii="仿宋_GB2312" w:hAnsi="仿宋_GB2312" w:cs="仿宋_GB2312" w:eastAsia="仿宋_GB2312"/>
                      <w:sz w:val="22"/>
                      <w:color w:val="000000"/>
                    </w:rPr>
                    <w:t>2.智能分析服务器：支持新增设备，支持批量导入；支持查看设备在线状态。支持关闭、重启分析服务。可同时接管多台智能分析设备。</w:t>
                  </w:r>
                  <w:r>
                    <w:br/>
                  </w:r>
                  <w:r>
                    <w:rPr>
                      <w:rFonts w:ascii="仿宋_GB2312" w:hAnsi="仿宋_GB2312" w:cs="仿宋_GB2312" w:eastAsia="仿宋_GB2312"/>
                      <w:sz w:val="22"/>
                      <w:color w:val="000000"/>
                    </w:rPr>
                    <w:t>3.摄像机：支持新增设备，支持批量导入.</w:t>
                  </w:r>
                  <w:r>
                    <w:br/>
                  </w:r>
                  <w:r>
                    <w:rPr>
                      <w:rFonts w:ascii="仿宋_GB2312" w:hAnsi="仿宋_GB2312" w:cs="仿宋_GB2312" w:eastAsia="仿宋_GB2312"/>
                      <w:sz w:val="22"/>
                      <w:color w:val="000000"/>
                    </w:rPr>
                    <w:t>4.教室管理:支持批量导入，新增考场。显示教室编码、教室名称、教室别名、学生数量、已绑定摄像机、更新时间；支持对教室绑定摄像机，支持修改，删除教室。</w:t>
                  </w:r>
                  <w:r>
                    <w:br/>
                  </w:r>
                  <w:r>
                    <w:rPr>
                      <w:rFonts w:ascii="仿宋_GB2312" w:hAnsi="仿宋_GB2312" w:cs="仿宋_GB2312" w:eastAsia="仿宋_GB2312"/>
                      <w:sz w:val="22"/>
                      <w:color w:val="000000"/>
                    </w:rPr>
                    <w:t>5.AI能力对接:支持更新分析服务器模型，通过从AI中台拉取或者从本地上传模型。</w:t>
                  </w:r>
                  <w:r>
                    <w:br/>
                  </w:r>
                  <w:r>
                    <w:rPr>
                      <w:rFonts w:ascii="仿宋_GB2312" w:hAnsi="仿宋_GB2312" w:cs="仿宋_GB2312" w:eastAsia="仿宋_GB2312"/>
                      <w:sz w:val="22"/>
                      <w:color w:val="000000"/>
                    </w:rPr>
                    <w:t>6.数据推送:支持向AI中台推送审核正常数据，审核异常数据。</w:t>
                  </w:r>
                  <w:r>
                    <w:br/>
                  </w:r>
                  <w:r>
                    <w:rPr>
                      <w:rFonts w:ascii="仿宋_GB2312" w:hAnsi="仿宋_GB2312" w:cs="仿宋_GB2312" w:eastAsia="仿宋_GB2312"/>
                      <w:sz w:val="22"/>
                      <w:color w:val="000000"/>
                    </w:rPr>
                    <w:t>7.录像任务：支持新增任务，支持配置任务，修改，删除。支持查看任务详情，支持查看录像文件分析进度。支持通过导入记录查看分析结果。支持对常用的mp4、mkv等视频格式进行分析，支持考场视频录像H264/H265编码文件分析处理。</w:t>
                  </w:r>
                  <w:r>
                    <w:br/>
                  </w:r>
                  <w:r>
                    <w:rPr>
                      <w:rFonts w:ascii="仿宋_GB2312" w:hAnsi="仿宋_GB2312" w:cs="仿宋_GB2312" w:eastAsia="仿宋_GB2312"/>
                      <w:sz w:val="22"/>
                      <w:color w:val="000000"/>
                    </w:rPr>
                    <w:t>8.考试任务：支持新增任务，支持配置任务，修改，删除。支持用户将考场的摄像头终端或硬盘录像机接入智能巡查分析服务器。支持查看任务中每个教室的分析详情，每个教室的分析任务支持开启和暂停。</w:t>
                  </w:r>
                  <w:r>
                    <w:br/>
                  </w:r>
                  <w:r>
                    <w:rPr>
                      <w:rFonts w:ascii="仿宋_GB2312" w:hAnsi="仿宋_GB2312" w:cs="仿宋_GB2312" w:eastAsia="仿宋_GB2312"/>
                      <w:sz w:val="22"/>
                      <w:color w:val="000000"/>
                    </w:rPr>
                    <w:t>9.定时任务：支持管理向分析服务器推流的频率，向平台推送分析结果的频率以及管理检测分析服务器心跳的频率，支持设置向上级推送审核结果、分析结果的能力。</w:t>
                  </w:r>
                  <w:r>
                    <w:br/>
                  </w:r>
                  <w:r>
                    <w:rPr>
                      <w:rFonts w:ascii="仿宋_GB2312" w:hAnsi="仿宋_GB2312" w:cs="仿宋_GB2312" w:eastAsia="仿宋_GB2312"/>
                      <w:sz w:val="22"/>
                      <w:color w:val="000000"/>
                    </w:rPr>
                    <w:t>10.结果列表：支持查看录像任务和实时任务分析结果。实时任务支持查看教室名称、摄像机名称、行为名称、学生人数、分析人数、分析状态、分析时间。支持查看每个教室分析任务详情，包括行为名称，分析设备名称、检测时间、考场照片、考场动态、平台审核、考场上报。</w:t>
                  </w:r>
                  <w:r>
                    <w:br/>
                  </w:r>
                  <w:r>
                    <w:rPr>
                      <w:rFonts w:ascii="仿宋_GB2312" w:hAnsi="仿宋_GB2312" w:cs="仿宋_GB2312" w:eastAsia="仿宋_GB2312"/>
                      <w:sz w:val="22"/>
                      <w:color w:val="000000"/>
                    </w:rPr>
                    <w:t>11.录像任务结果支持查看文件名、文件路径、行为名称、分析人数、分析状态、分析时间。支持每个文件分析出来的所有异常行为详情，包括行为名称，分析设备名称，检测时间，考场照片，考场动态。</w:t>
                  </w:r>
                  <w:r>
                    <w:br/>
                  </w:r>
                  <w:r>
                    <w:rPr>
                      <w:rFonts w:ascii="仿宋_GB2312" w:hAnsi="仿宋_GB2312" w:cs="仿宋_GB2312" w:eastAsia="仿宋_GB2312"/>
                      <w:sz w:val="22"/>
                      <w:color w:val="000000"/>
                    </w:rPr>
                    <w:t>结果统计：支持按照场次统计每个场次试卷收发情况，监考员异常情况，考生异常行为总数，环境异常总数。</w:t>
                  </w:r>
                  <w:r>
                    <w:br/>
                  </w:r>
                  <w:r>
                    <w:rPr>
                      <w:rFonts w:ascii="仿宋_GB2312" w:hAnsi="仿宋_GB2312" w:cs="仿宋_GB2312" w:eastAsia="仿宋_GB2312"/>
                      <w:sz w:val="22"/>
                      <w:color w:val="000000"/>
                    </w:rPr>
                    <w:t>12.数据总览：显示每个考场里面考生异常数量，监考员异常数量，收发卷异常数，考场环境异常数。支持查看异常结果视频和异常行为截图。</w:t>
                  </w:r>
                  <w:r>
                    <w:br/>
                  </w:r>
                  <w:r>
                    <w:rPr>
                      <w:rFonts w:ascii="仿宋_GB2312" w:hAnsi="仿宋_GB2312" w:cs="仿宋_GB2312" w:eastAsia="仿宋_GB2312"/>
                      <w:sz w:val="22"/>
                      <w:color w:val="000000"/>
                    </w:rPr>
                    <w:t>13.智能巡查：实时查看考场摄像机图像，监控页面支持1,4，9画面切换，显示实时视频流，每个监控画面支持显示网速，最新的异常行为，异常行为包括异常行为名称，发生时间，查看详情。支持显示异常统计。待审核异常详情界面显示当前考场，异常行为，发生时间，异常行为片段，异常行为截图，支持点击确认正常行为，异常行为，支持查看本考场所有异常行为，包含待审核，审核异常，审核正常，并统计待审核，审核异常，审核正常数量。</w:t>
                  </w:r>
                  <w:r>
                    <w:br/>
                  </w:r>
                  <w:r>
                    <w:rPr>
                      <w:rFonts w:ascii="仿宋_GB2312" w:hAnsi="仿宋_GB2312" w:cs="仿宋_GB2312" w:eastAsia="仿宋_GB2312"/>
                      <w:sz w:val="22"/>
                      <w:color w:val="000000"/>
                    </w:rPr>
                    <w:t>14.智能监考：支持统计可疑行为、审核正常行为、审核异常行为、考场处理行为；支持查看异常行为图像，支持查看异常行为图像，异常行为录像支持查看</w:t>
                  </w:r>
                  <w:r>
                    <w:rPr>
                      <w:rFonts w:ascii="仿宋_GB2312" w:hAnsi="仿宋_GB2312" w:cs="仿宋_GB2312" w:eastAsia="仿宋_GB2312"/>
                      <w:sz w:val="22"/>
                      <w:color w:val="000000"/>
                    </w:rPr>
                    <w:t>不少于</w:t>
                  </w:r>
                  <w:r>
                    <w:rPr>
                      <w:rFonts w:ascii="仿宋_GB2312" w:hAnsi="仿宋_GB2312" w:cs="仿宋_GB2312" w:eastAsia="仿宋_GB2312"/>
                      <w:sz w:val="22"/>
                      <w:color w:val="000000"/>
                    </w:rPr>
                    <w:t>20s的短视频。视频长度可以自定义设置，最大支持20s。支持按照场次，行为类型筛选数据。</w:t>
                  </w:r>
                  <w:r>
                    <w:br/>
                  </w:r>
                  <w:r>
                    <w:rPr>
                      <w:rFonts w:ascii="仿宋_GB2312" w:hAnsi="仿宋_GB2312" w:cs="仿宋_GB2312" w:eastAsia="仿宋_GB2312"/>
                      <w:sz w:val="22"/>
                      <w:b/>
                      <w:color w:val="000000"/>
                    </w:rPr>
                    <w:t>产品具有合法渠道证明材料</w:t>
                  </w:r>
                  <w:r>
                    <w:rPr>
                      <w:rFonts w:ascii="仿宋_GB2312" w:hAnsi="仿宋_GB2312" w:cs="仿宋_GB2312" w:eastAsia="仿宋_GB2312"/>
                      <w:sz w:val="22"/>
                      <w:b/>
                      <w:color w:val="000000"/>
                    </w:rPr>
                    <w:t>。</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工作站</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用于安装智能监考平台（校级）</w:t>
                  </w:r>
                  <w:r>
                    <w:br/>
                  </w:r>
                  <w:r>
                    <w:rPr>
                      <w:rFonts w:ascii="仿宋_GB2312" w:hAnsi="仿宋_GB2312" w:cs="仿宋_GB2312" w:eastAsia="仿宋_GB2312"/>
                      <w:sz w:val="22"/>
                      <w:color w:val="000000"/>
                    </w:rPr>
                    <w:t>CPU：≥8核，频率≥2.5GHz；</w:t>
                  </w:r>
                  <w:r>
                    <w:br/>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≥16GB；</w:t>
                  </w:r>
                  <w:r>
                    <w:br/>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≥4T；</w:t>
                  </w:r>
                  <w:r>
                    <w:br/>
                  </w:r>
                  <w:r>
                    <w:rPr>
                      <w:rFonts w:ascii="仿宋_GB2312" w:hAnsi="仿宋_GB2312" w:cs="仿宋_GB2312" w:eastAsia="仿宋_GB2312"/>
                      <w:sz w:val="22"/>
                      <w:color w:val="000000"/>
                    </w:rPr>
                    <w:t>网口：</w:t>
                  </w:r>
                  <w:r>
                    <w:rPr>
                      <w:rFonts w:ascii="仿宋_GB2312" w:hAnsi="仿宋_GB2312" w:cs="仿宋_GB2312" w:eastAsia="仿宋_GB2312"/>
                      <w:sz w:val="22"/>
                      <w:color w:val="000000"/>
                    </w:rPr>
                    <w:t>2个RJ45 10M/100M/1000M自适应以太网口；</w:t>
                  </w:r>
                  <w:r>
                    <w:br/>
                  </w:r>
                  <w:r>
                    <w:rPr>
                      <w:rFonts w:ascii="仿宋_GB2312" w:hAnsi="仿宋_GB2312" w:cs="仿宋_GB2312" w:eastAsia="仿宋_GB2312"/>
                      <w:sz w:val="22"/>
                      <w:color w:val="000000"/>
                    </w:rPr>
                    <w:t>操作系统：</w:t>
                  </w:r>
                  <w:r>
                    <w:rPr>
                      <w:rFonts w:ascii="仿宋_GB2312" w:hAnsi="仿宋_GB2312" w:cs="仿宋_GB2312" w:eastAsia="仿宋_GB2312"/>
                      <w:sz w:val="22"/>
                      <w:color w:val="000000"/>
                    </w:rPr>
                    <w:t>CentOS 7.9。</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智能分析平台</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操作系统：</w:t>
                  </w:r>
                  <w:r>
                    <w:rPr>
                      <w:rFonts w:ascii="仿宋_GB2312" w:hAnsi="仿宋_GB2312" w:cs="仿宋_GB2312" w:eastAsia="仿宋_GB2312"/>
                      <w:sz w:val="22"/>
                      <w:color w:val="000000"/>
                    </w:rPr>
                    <w:t>Linux Ubuntu 20；</w:t>
                  </w:r>
                  <w:r>
                    <w:br/>
                  </w:r>
                  <w:r>
                    <w:rPr>
                      <w:rFonts w:ascii="仿宋_GB2312" w:hAnsi="仿宋_GB2312" w:cs="仿宋_GB2312" w:eastAsia="仿宋_GB2312"/>
                      <w:sz w:val="22"/>
                      <w:color w:val="000000"/>
                    </w:rPr>
                    <w:t>峰值算力：可同时进行</w:t>
                  </w:r>
                  <w:r>
                    <w:rPr>
                      <w:rFonts w:ascii="仿宋_GB2312" w:hAnsi="仿宋_GB2312" w:cs="仿宋_GB2312" w:eastAsia="仿宋_GB2312"/>
                      <w:sz w:val="22"/>
                      <w:color w:val="000000"/>
                    </w:rPr>
                    <w:t>25路高清视频解码与智能分析；</w:t>
                  </w:r>
                  <w:r>
                    <w:br/>
                  </w:r>
                  <w:r>
                    <w:rPr>
                      <w:rFonts w:ascii="仿宋_GB2312" w:hAnsi="仿宋_GB2312" w:cs="仿宋_GB2312" w:eastAsia="仿宋_GB2312"/>
                      <w:sz w:val="22"/>
                      <w:color w:val="000000"/>
                    </w:rPr>
                    <w:t>视频接入：支持巡查视频接入，支持</w:t>
                  </w:r>
                  <w:r>
                    <w:rPr>
                      <w:rFonts w:ascii="仿宋_GB2312" w:hAnsi="仿宋_GB2312" w:cs="仿宋_GB2312" w:eastAsia="仿宋_GB2312"/>
                      <w:sz w:val="22"/>
                      <w:color w:val="000000"/>
                    </w:rPr>
                    <w:t>25路考场实时视频接入；</w:t>
                  </w:r>
                  <w:r>
                    <w:br/>
                  </w:r>
                  <w:r>
                    <w:rPr>
                      <w:rFonts w:ascii="仿宋_GB2312" w:hAnsi="仿宋_GB2312" w:cs="仿宋_GB2312" w:eastAsia="仿宋_GB2312"/>
                      <w:sz w:val="22"/>
                      <w:color w:val="000000"/>
                    </w:rPr>
                    <w:t>分析能力：支持对教育部试点要求中的</w:t>
                  </w:r>
                  <w:r>
                    <w:rPr>
                      <w:rFonts w:ascii="仿宋_GB2312" w:hAnsi="仿宋_GB2312" w:cs="仿宋_GB2312" w:eastAsia="仿宋_GB2312"/>
                      <w:sz w:val="22"/>
                      <w:color w:val="000000"/>
                    </w:rPr>
                    <w:t>44种异常行为进行智能分析，覆盖考试个人异常行为、考生群体异常行为、监考员异常行为、保密室异常行为，包括考生提前作答、左右偏头、群体举手、群体起立、监考员提前发卷、监考员少于两人、保密室试卷清点环节告警等异常行为。</w:t>
                  </w:r>
                  <w:r>
                    <w:br/>
                  </w:r>
                  <w:r>
                    <w:rPr>
                      <w:rFonts w:ascii="仿宋_GB2312" w:hAnsi="仿宋_GB2312" w:cs="仿宋_GB2312" w:eastAsia="仿宋_GB2312"/>
                      <w:sz w:val="22"/>
                      <w:color w:val="000000"/>
                    </w:rPr>
                    <w:t>智能分析平台获取考场高清巡查摄像机视频，实现对</w:t>
                  </w:r>
                  <w:r>
                    <w:rPr>
                      <w:rFonts w:ascii="仿宋_GB2312" w:hAnsi="仿宋_GB2312" w:cs="仿宋_GB2312" w:eastAsia="仿宋_GB2312"/>
                      <w:sz w:val="22"/>
                      <w:color w:val="000000"/>
                    </w:rPr>
                    <w:t>25路考场视频的实时分析，并将分析结果上传到智能监考平台；</w:t>
                  </w:r>
                  <w:r>
                    <w:br/>
                  </w:r>
                  <w:r>
                    <w:rPr>
                      <w:rFonts w:ascii="仿宋_GB2312" w:hAnsi="仿宋_GB2312" w:cs="仿宋_GB2312" w:eastAsia="仿宋_GB2312"/>
                      <w:sz w:val="22"/>
                      <w:color w:val="000000"/>
                    </w:rPr>
                    <w:t>含</w:t>
                  </w:r>
                  <w:r>
                    <w:rPr>
                      <w:rFonts w:ascii="仿宋_GB2312" w:hAnsi="仿宋_GB2312" w:cs="仿宋_GB2312" w:eastAsia="仿宋_GB2312"/>
                      <w:sz w:val="22"/>
                      <w:color w:val="000000"/>
                    </w:rPr>
                    <w:t>“智能视频分析嵌入式算法软件”授权。</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终端主机</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≥i5/≥8G内存/≥256G硬盘/23.8显示器/键盘鼠标</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UPS不间断电源</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产品类型：在线式电源</w:t>
                  </w:r>
                  <w:r>
                    <w:br/>
                  </w:r>
                  <w:r>
                    <w:rPr>
                      <w:rFonts w:ascii="仿宋_GB2312" w:hAnsi="仿宋_GB2312" w:cs="仿宋_GB2312" w:eastAsia="仿宋_GB2312"/>
                      <w:sz w:val="22"/>
                      <w:color w:val="000000"/>
                    </w:rPr>
                    <w:t>输入电压：</w:t>
                  </w:r>
                  <w:r>
                    <w:rPr>
                      <w:rFonts w:ascii="仿宋_GB2312" w:hAnsi="仿宋_GB2312" w:cs="仿宋_GB2312" w:eastAsia="仿宋_GB2312"/>
                      <w:sz w:val="22"/>
                      <w:color w:val="000000"/>
                    </w:rPr>
                    <w:t>220伏特 输出电压：220伏特 输入频率范围：45Hz-65Hz</w:t>
                  </w:r>
                  <w:r>
                    <w:br/>
                  </w:r>
                  <w:r>
                    <w:rPr>
                      <w:rFonts w:ascii="仿宋_GB2312" w:hAnsi="仿宋_GB2312" w:cs="仿宋_GB2312" w:eastAsia="仿宋_GB2312"/>
                      <w:sz w:val="22"/>
                      <w:color w:val="000000"/>
                    </w:rPr>
                    <w:t>额定容量：</w:t>
                  </w:r>
                  <w:r>
                    <w:rPr>
                      <w:rFonts w:ascii="仿宋_GB2312" w:hAnsi="仿宋_GB2312" w:cs="仿宋_GB2312" w:eastAsia="仿宋_GB2312"/>
                      <w:sz w:val="22"/>
                      <w:color w:val="000000"/>
                    </w:rPr>
                    <w:t>10KVA</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机房专业配电箱</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根据实际情况定制，含机房配电专线、配电箱、开关均采用</w:t>
                  </w:r>
                  <w:r>
                    <w:rPr>
                      <w:rFonts w:ascii="仿宋_GB2312" w:hAnsi="仿宋_GB2312" w:cs="仿宋_GB2312" w:eastAsia="仿宋_GB2312"/>
                      <w:sz w:val="22"/>
                      <w:color w:val="000000"/>
                    </w:rPr>
                    <w:t>合格</w:t>
                  </w:r>
                  <w:r>
                    <w:rPr>
                      <w:rFonts w:ascii="仿宋_GB2312" w:hAnsi="仿宋_GB2312" w:cs="仿宋_GB2312" w:eastAsia="仿宋_GB2312"/>
                      <w:sz w:val="22"/>
                      <w:color w:val="000000"/>
                    </w:rPr>
                    <w:t>产品。</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自合同签订之日起15日历天完成供货、安装及调试。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所有货物到达甲方指定地点，安装、调试完毕并验收合格后，乙方出具发票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验收合格满一年后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达使用单位指定地点后,在开箱时必须完好,无破损,配置与装箱清单相符,数量、质量及性能不低于合同要求。使用单位和成交供应商共同签署到货验收单，未签收到货验收单的货物不得擅自开箱安装。拆箱后,成交供应商应对其全部产品、要件、配件、产品说明书，保修卡，合格证,登记册作为验收文档之一，成交供应商应负责在项目验收时将采购的全部有关产品说明书、技术文件、资料、及安装、验收报告等文档汇集成册交付使用单位。(2)、安装调试完成,成交供应商进行自检并形成自检报告,出现的问题限期整改。自检最终通过后,成交供应商提出验收申请，使用单位组织相关人员进行最终验收。(3)、采购方接到供货方的验收通知后,采购方验收组应对其设备的原包装、产品合格证、使用说明书、装箱单等随机文件及保修手续和配置安装、测试、运行等逐项进行验收,其中一项不合格不能验收,视为不合格。 (4)、设备自通过验收之日起进入质保期。</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对其所提供的设备、软件及配件的供应、提供1年质保服务,并提供技术咨询等服务。质保期内应无偿负担维修和替换等工作。超出质保期只收取维修所需原设备、材料成本费用。(2)、服务响应时限:7*24小时服务,提供售后服务电话。(3)、派专人对学校提供售后服务,并定期在考试前对所提供的设备设施使用情况等进行维护、回访。(4)、维修工作时间不大于24小时,更换工作时间不大于72小时。(5)、若成交供应商未按照合同规定的售后服务要求执行,使用单位有权自行选择第三方进行维护和修理,所产生的费用由成交单位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1、本项目不专门面向中小企业采购； 2、本项目属性为货物类；本项目采购标的所属行业为工业，（按照《工信部 国家统计局 发改委 财政部 工信部联企业》中小企业划型标准（〔2011〕300号）规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 （2）税收缴纳证明：提供自2024年06月01日至磋商截止日已缴纳的任意一个月的纳税证明或完税证明，依法免税的单位应提供相关证明材料； （3）社会保障资金缴纳证明：提供自2024年06月01日至磋商截止日已缴存的任意一个月的社会保障资金缴存单据或社保机构开具的社会保险参保缴费情况证明，依法不需要缴纳社会保障资金的单位应提供相关证明材料； （4）提供具有履行本合同所必需的设备和专业技术能力的承诺； （5）参加政府采购活动前3年内，在经营活动中没有重大违法记录的书面声明；供应商需在项目电子化交易系统中按要求填写《响应函》完成承诺并进行电子签章。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单位负责人为同一人或者存在控股、管理关系的不同单位不得同时参加本次磋商。供应商需在项目电子化交易系统中按要求填写《响应函》完成承诺并进行电子签章。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（1）响应文件的签署盖章：与所投项目名称、项目编号一致，且符合磋商文件签署盖章要求。 （2）响应文件格式：符合“响应文件格式”的规定 （3）报价唯一：只能有一个有效报价，不得提交选择性报价，且报价不超过磋商文件规定的采购预算金额及最高限价</w:t>
            </w:r>
          </w:p>
        </w:tc>
        <w:tc>
          <w:tcPr>
            <w:tcW w:type="dxa" w:w="1661"/>
          </w:tcPr>
          <w:p>
            <w:pPr>
              <w:pStyle w:val="null3"/>
            </w:pPr>
            <w:r>
              <w:rPr>
                <w:rFonts w:ascii="仿宋_GB2312" w:hAnsi="仿宋_GB2312" w:cs="仿宋_GB2312" w:eastAsia="仿宋_GB2312"/>
              </w:rPr>
              <w:t>响应文件封面 商务技术响应文件.docx 分项报价表.docx 中小企业声明函 残疾人福利性单位声明函 标的清单 报价表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交货期、交货地点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对磋商文件有关合同、商务技术的响应程度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商务技术响应文件.docx 分项报价表.docx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所投产品技术参数清楚、明确并能逐条响应磋商文件第三章 磋商项目技术、服务、商务及其他要求中所有参数要求，得20分。 其中:技术参数每负偏离一项扣0.5分，扣完为止。 （技术参数佐证材料，提供第三方检测报告并加盖供应商公章，予以证明其技术参数的响应性）</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商务技术响应文件.docx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提供产品货源渠道正规，确保产品无假货、水货、翻新货且无产权纠纷，提供所投产品的合法来源渠道证明文件（包括但不限于产品销售协议、代理协议或厂家授权等）。 评审标准： 提供所有产品的供货渠道证明材料得6分，每缺少一个产品的供货渠道证明材料扣1分，扣完为止。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商务技术响应文件.docx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项目实施方案，包含：①项目实施技术方案②质量保障及处理措施（质量保障及处理措施内容包括但不限于安全保障措施、采购环节控制、包装运输等）③供货进度计划④安装调试方案⑤组织协调方案五项内容进行综合评审。 评审标准： 1.实施方案各部分内容全面详细、阐述条理清晰详尽、符合本项目采购需求，每项得4分； 2.以上五项内容每缺少一项扣4分； 3.有某一项不完整或不符合实际要求或不满足实施要求或套用其他项目内容的每项扣（1-3）分；扣完为止。 4.本项最高得20分，未提供得0分。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商务技术响应文件.docx</w:t>
            </w:r>
          </w:p>
        </w:tc>
      </w:tr>
      <w:tr>
        <w:tc>
          <w:tcPr>
            <w:tcW w:type="dxa" w:w="831"/>
            <w:vMerge/>
          </w:tcPr>
          <w:p/>
        </w:tc>
        <w:tc>
          <w:tcPr>
            <w:tcW w:type="dxa" w:w="1661"/>
          </w:tcPr>
          <w:p>
            <w:pPr>
              <w:pStyle w:val="null3"/>
            </w:pPr>
            <w:r>
              <w:rPr>
                <w:rFonts w:ascii="仿宋_GB2312" w:hAnsi="仿宋_GB2312" w:cs="仿宋_GB2312" w:eastAsia="仿宋_GB2312"/>
              </w:rPr>
              <w:t>人员保障</w:t>
            </w:r>
          </w:p>
        </w:tc>
        <w:tc>
          <w:tcPr>
            <w:tcW w:type="dxa" w:w="2492"/>
          </w:tcPr>
          <w:p>
            <w:pPr>
              <w:pStyle w:val="null3"/>
            </w:pPr>
            <w:r>
              <w:rPr>
                <w:rFonts w:ascii="仿宋_GB2312" w:hAnsi="仿宋_GB2312" w:cs="仿宋_GB2312" w:eastAsia="仿宋_GB2312"/>
              </w:rPr>
              <w:t>根据本项目的人员配备情况，包含：①人员岗位职责划分明确②管理及岗位制度③专业技术人员投入情况等三项内容进行综合评审。 评审标准： 1.满足且人员保障措施详细、职责划分清晰、拟投入的人员能够满足供货要求及项目需求每项得2分； 2.有某一项不完整或不符合实际要求或不满足实施要求或套用其他项目内容的每项扣（1-2）分； 3.本项最高得6分。未提供得0分。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商务技术响应文件.docx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①售后服务机构信息及售后服务电话；②售后服务人员配置（至少包括姓名、联系电话）；③售后服务范围及售后服务承诺；④售后服务保障措施（包括供货不及时、出现残次品等补货换货解决方案）；⑤产品交付采购方后出现质量问题的响应时间与保障措施等五项内容进行评审。 评审标准： 满足1项且内容详细计1分，最高5分；有某一项不完整或不符合实际要求或不满足实施要求或套用其他项目内容的每项扣（0-1）分；未提供的，得0分。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商务技术响应文件.docx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针对本项目提供培训方案，为采购人培训操作维护人员，以保障使用过程中能熟练操作、维护和正常使用，培训方案内容包含：①培训计划及培训时间②培训内容③培训方式等三项内容进行综合评审。 评审标准： 1.方案各部分内容全面详细、阐述条理清晰详尽、符合本项目采购需求得3分； 2.以上三项内容每缺少一项扣1分，有某一项不完整或不符合实际要求或不满足培训要求或套用其他项目内容的扣（0-1）分，扣完为止。 3.未提供得0分。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商务技术响应文件.docx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供应商所投产品为节能、环境标志产品品目清单中优先采购的产品，须提供国家确定的认证机构出具的、处于有效期之内的节能、环境标志产 品认证证书，每提供一个得1分，满分 2 分。 评审依据：以加盖供应商公章的证明材料电子件或扫描件为计分依据。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商务技术响应文件.docx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提供2021年1月以来类似项目业绩（以合同签订日期为准）每1份符合类似项目业绩合同计2分，满分8分。 备注：业绩证明（以合同或中标（成交）通知书为准，须在响应文件中附合同或中标（成交）通知书的扫描件加盖单位公章）弄虚作假者，取消其成交资格。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商务技术响应文件.docx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详见附件：商务技术响应文件.docx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