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版本号：LXZB202500620250612001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临潼区地铁9号线东三岔站周边基础设施提升项目设计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LXZB2025006</w:t>
      </w:r>
      <w:r>
        <w:br/>
      </w:r>
      <w:r>
        <w:br/>
      </w:r>
      <w:r>
        <w:br/>
      </w:r>
    </w:p>
    <w:p>
      <w:pPr>
        <w:pStyle w:val="null3"/>
        <w:jc w:val="center"/>
        <w:outlineLvl w:val="2"/>
      </w:pPr>
      <w:r>
        <w:rPr>
          <w:rFonts w:ascii="仿宋_GB2312" w:hAnsi="仿宋_GB2312" w:cs="仿宋_GB2312" w:eastAsia="仿宋_GB2312"/>
          <w:sz w:val="28"/>
          <w:b/>
        </w:rPr>
        <w:t>西安市临潼区住房和城乡建设局</w:t>
      </w:r>
    </w:p>
    <w:p>
      <w:pPr>
        <w:pStyle w:val="null3"/>
        <w:jc w:val="center"/>
        <w:outlineLvl w:val="2"/>
      </w:pPr>
      <w:r>
        <w:rPr>
          <w:rFonts w:ascii="仿宋_GB2312" w:hAnsi="仿宋_GB2312" w:cs="仿宋_GB2312" w:eastAsia="仿宋_GB2312"/>
          <w:sz w:val="28"/>
          <w:b/>
        </w:rPr>
        <w:t>陕西龙翔卓宝建设项目管理有限公司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陕西龙翔卓宝建设项目管理有限公司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西安市临潼区住房和城乡建设局</w:t>
      </w:r>
      <w:r>
        <w:rPr>
          <w:rFonts w:ascii="仿宋_GB2312" w:hAnsi="仿宋_GB2312" w:cs="仿宋_GB2312" w:eastAsia="仿宋_GB2312"/>
        </w:rPr>
        <w:t>委托，拟对</w:t>
      </w:r>
      <w:r>
        <w:rPr>
          <w:rFonts w:ascii="仿宋_GB2312" w:hAnsi="仿宋_GB2312" w:cs="仿宋_GB2312" w:eastAsia="仿宋_GB2312"/>
        </w:rPr>
        <w:t>临潼区地铁9号线东三岔站周边基础设施提升项目设计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LXZB2025006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临潼区地铁9号线东三岔站周边基础设施提升项目设计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分三部分，第一部分对临潼中心广场进行提升改造第二部分对东三岔B1、B2出入口及银桥大道C出入口周边口袋公园提升改造，第三部分对银桥大道部分路段道路进行提升改造，主要内容包括上述三部分的施工图范围内的全部设计内容（含施工图预算）。 （一）临潼中心广场提升改造 临潼广场占地总面积约为4.38万平米，更换破损陈旧的铺装、坐凳等基础设施，消除安全隐患；在地铁出入口及周边新建挡墙、花池、条形座凳、无障碍坡道、标识标牌及成品垃圾箱等基础设施；对广场现有一组LED显示屏进行更换；增加国防教育、体育运动、休闲活动等空间与设施。具体规模如下: 1.人行道铺装改造:对广场一周人行道铺装及道牙进行更换,将铺装更换为透水砖，增加慢跑道，面积约4574㎡。 2.地铁占用区域恢复:主要是恢复部分绿地、地面硬质铺装以及与现状相衔接的花池，对现状靠近银桥大道挡墙，局部保留，局部后退，空出临街绿地，面积约10406㎡。 3.原场地提升改造:对现状广场、园路内的硬质铺装、花池外贴面进行提升改造，面积约28820㎡。 同步改造建设灌溉工程、排水工程、照明工程。 （二）东三岔B1、B2出入口及银桥大道C出入口周边口袋公园提升改造 对三处地铁出入口周边的地面铺装、人行道及绿化进行提升。场地内主要采用PC仿石砖，局部采用透水混凝土，人行道采用灰色透水砖、黄色盲道砖进行铺装。新增高台花池、花池座椅；场地内设置条形座椅、圆形树池座椅、黑色卵石形座椅；增加法治宣传牌3个；增加绿化带和坐凳等休息设施。其中东三岔站B1口周边口袋公园占地面积约1067㎡，东三岔站B2口周边口袋公园占地面积约1284㎡，银桥大道站C口周边口袋公园占地面积约 3211㎡。 (三)银桥大道道路提升改造 本次银桥大道改造范围南起银桥大道与秦陵北路交叉口，北至银桥大道与桃源路交叉口，道路全长514.317米，对银桥大道现状水泥路面加铺沥青面层进行白改黑改造，改造面积约15664平方米；对现状道路路面病害、沉降部分进行病害处理，改造面积约2350平方米；对银桥大道现状人行道挖除新建，改造面积约2846平方米；同步拆除新建路缘石、树坑等附属设施。路面改造后同步施划交通标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采购包1（临潼区地铁9号线东三岔站周边基础设施提升项目设计）：属于专门面向中小企业采购。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3、企业资质：供应商需具备建设行政主管部门颁发的工程设计综合资质甲级资质或市政行业工程设计乙级及以上资质或风景园林工程设计乙级及以上资质；</w:t>
      </w:r>
    </w:p>
    <w:p>
      <w:pPr>
        <w:pStyle w:val="null3"/>
      </w:pPr>
      <w:r>
        <w:rPr>
          <w:rFonts w:ascii="仿宋_GB2312" w:hAnsi="仿宋_GB2312" w:cs="仿宋_GB2312" w:eastAsia="仿宋_GB2312"/>
        </w:rPr>
        <w:t>4、项目负责人资格：供应商拟项目负责人须具备市政公用工程专业二级及以上注册建筑师资格或园林相关专业高级技术职称；</w:t>
      </w:r>
    </w:p>
    <w:p>
      <w:pPr>
        <w:pStyle w:val="null3"/>
      </w:pPr>
      <w:r>
        <w:rPr>
          <w:rFonts w:ascii="仿宋_GB2312" w:hAnsi="仿宋_GB2312" w:cs="仿宋_GB2312" w:eastAsia="仿宋_GB2312"/>
        </w:rPr>
        <w:t>5、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pPr>
        <w:pStyle w:val="null3"/>
      </w:pPr>
      <w:r>
        <w:rPr>
          <w:rFonts w:ascii="仿宋_GB2312" w:hAnsi="仿宋_GB2312" w:cs="仿宋_GB2312" w:eastAsia="仿宋_GB2312"/>
        </w:rPr>
        <w:t>6、供应商关联关系声明：单位负责人为同一人或者存在控股、管理关系的不同单位，不得参加同一合同包下的政府采购活动；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7、中小企业采购情况：本项目为专门面向中小企业采购；</w:t>
      </w:r>
    </w:p>
    <w:p>
      <w:pPr>
        <w:pStyle w:val="null3"/>
      </w:pPr>
      <w:r>
        <w:rPr>
          <w:rFonts w:ascii="仿宋_GB2312" w:hAnsi="仿宋_GB2312" w:cs="仿宋_GB2312" w:eastAsia="仿宋_GB2312"/>
        </w:rPr>
        <w:t>8、非联合体声明：本次磋商不接受联合体磋商。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13720510555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陕西龙翔卓宝建设项目管理有限公司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陕西省西安市高陵区鹿祥路600号利民花园商铺东5号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15129219132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采购包1：547,448.30元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国家计价格【2002】1980号文件《招标代理服务收费管理暂行办法》、国家发展和改革委员会办公厅颁发的《关于招标代理服务费收费有关问题的通知》、《调整后的招标代理服务收费标准》（发改价格【2011】534号）文件规定标准向成交人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西安市临潼区住房和城乡建设局</w:t>
      </w:r>
      <w:r>
        <w:rPr>
          <w:rFonts w:ascii="仿宋_GB2312" w:hAnsi="仿宋_GB2312" w:cs="仿宋_GB2312" w:eastAsia="仿宋_GB2312"/>
        </w:rPr>
        <w:t>和</w:t>
      </w:r>
      <w:r>
        <w:rPr>
          <w:rFonts w:ascii="仿宋_GB2312" w:hAnsi="仿宋_GB2312" w:cs="仿宋_GB2312" w:eastAsia="仿宋_GB2312"/>
        </w:rPr>
        <w:t>陕西龙翔卓宝建设项目管理有限公司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陕西龙翔卓宝建设项目管理有限公司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陕西龙翔卓宝建设项目管理有限公司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联系人：赵玺</w:t>
      </w:r>
    </w:p>
    <w:p>
      <w:pPr>
        <w:pStyle w:val="null3"/>
      </w:pPr>
      <w:r>
        <w:rPr>
          <w:rFonts w:ascii="仿宋_GB2312" w:hAnsi="仿宋_GB2312" w:cs="仿宋_GB2312" w:eastAsia="仿宋_GB2312"/>
        </w:rPr>
        <w:t>联系电话：15129219132</w:t>
      </w:r>
    </w:p>
    <w:p>
      <w:pPr>
        <w:pStyle w:val="null3"/>
      </w:pPr>
      <w:r>
        <w:rPr>
          <w:rFonts w:ascii="仿宋_GB2312" w:hAnsi="仿宋_GB2312" w:cs="仿宋_GB2312" w:eastAsia="仿宋_GB2312"/>
        </w:rPr>
        <w:t>地址：陕西省西安市高陵区鹿祥路600号利民花园商铺东5号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分三部分，第一部分对临潼中心广场进行提升改造，第二部分对东三岔B1、B2出入口及银桥大道C出入口周边口袋公园提升改造，第三部分对银桥大道部分路段道路进行提升改造，主要内容包括上述三部分的施工图范围内的全部设计内容（含施工图预算）。 （一）临潼中心广场提升改造 临潼广场占地总面积约为4.38万平米，更换破损陈旧的铺装、坐凳等基础设施，消除安全隐患；在地铁出入口及周边新建挡墙、花池、条形座凳、无障碍坡道、标识标牌及成品垃圾箱等基础设施；对广场现有一组LED显示屏进行更换；增加国防教育、体育运动、休闲活动等空间与设施。具体规模如下: 1.人行道铺装改造:对广场一周人行道铺装及道牙进行更换,将铺装更换为透水砖，增加慢跑道，面积约4574m²。 2.地铁占用区域恢复:主要是恢复部分绿地、地面硬质铺装以及与现状相衔接的花池，对现状靠近银桥大道挡墙，局部保留，局部后退，空出临街绿地，面积约10406m²。 3.原场地提升改造:对现状广场、园路内的硬质铺装、花池外贴面进行提升改造，面积约28820m²。 同步改造建设灌溉工程、排水工程、照明工程。 （二）东三岔B1、B2出入口及银桥大道C出入口周边口袋公园提升改造 对三处地铁出入口周边的地面铺装、人行道及绿化进行提升。场地内主要采用PC仿石砖，局部采用透水混凝土，人行道采用灰色透水砖、黄色盲道砖进行铺装。新增高台花池、花池座椅；场地内设置条形座椅、圆形树池座椅、黑色卵石形座椅；增加法治宣传牌3个；增加绿化带和坐凳等休息设施。其中东三岔站B1口周边口袋公园占地面积约1067m²，东三岔站B2口周边口袋公园占地面积约1284m²，银桥大道站C口周边口袋公园占地面积约 3211m²。 (三)银桥大道道路提升改造 本次银桥大道改造范围南起银桥大道与秦陵北路交叉口，北至银桥大道与桃源路交叉口，道路全长514.317米，对银桥大道现状水泥路面加铺沥青面层进行白改黑改造，改造面积约15664平方米；对现状道路路面病害、沉降部分进行病害处理，改造面积约2350平方米；对银桥大道现状人行道挖除新建，改造面积约2846平方米；同步拆除新建路缘石、树坑等附属设施。路面改造后同步施划交通标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547,448.30</w:t>
      </w:r>
    </w:p>
    <w:p>
      <w:pPr>
        <w:pStyle w:val="null3"/>
      </w:pPr>
      <w:r>
        <w:rPr>
          <w:rFonts w:ascii="仿宋_GB2312" w:hAnsi="仿宋_GB2312" w:cs="仿宋_GB2312" w:eastAsia="仿宋_GB2312"/>
        </w:rPr>
        <w:t>采购包最高限价（元）: 547,448.30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临潼区地铁9号线东三岔站周边基础设施提升项目设计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547,448.30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标的名称：临潼区地铁9号线东三岔站周边基础设施提升项目设计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80"/>
              <w:ind w:right="105"/>
            </w:pPr>
            <w:r>
              <w:rPr>
                <w:rFonts w:ascii="仿宋_GB2312" w:hAnsi="仿宋_GB2312" w:cs="仿宋_GB2312" w:eastAsia="仿宋_GB2312"/>
                <w:sz w:val="21"/>
                <w:color w:val="000000"/>
              </w:rPr>
              <w:t>1、项目名称：</w:t>
            </w:r>
            <w:r>
              <w:rPr>
                <w:rFonts w:ascii="仿宋_GB2312" w:hAnsi="仿宋_GB2312" w:cs="仿宋_GB2312" w:eastAsia="仿宋_GB2312"/>
                <w:sz w:val="21"/>
                <w:color w:val="000000"/>
              </w:rPr>
              <w:t>临潼区地铁</w:t>
            </w:r>
            <w:r>
              <w:rPr>
                <w:rFonts w:ascii="仿宋_GB2312" w:hAnsi="仿宋_GB2312" w:cs="仿宋_GB2312" w:eastAsia="仿宋_GB2312"/>
                <w:sz w:val="21"/>
                <w:color w:val="000000"/>
              </w:rPr>
              <w:t>9号线东三岔站周边基础设施提升项目设计</w:t>
            </w:r>
          </w:p>
          <w:p>
            <w:pPr>
              <w:pStyle w:val="null3"/>
              <w:spacing w:before="180"/>
              <w:ind w:right="105"/>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、采购内容：</w:t>
            </w:r>
          </w:p>
          <w:p>
            <w:pPr>
              <w:pStyle w:val="null3"/>
              <w:ind w:firstLine="428"/>
            </w:pPr>
            <w:r>
              <w:rPr>
                <w:rFonts w:ascii="仿宋_GB2312" w:hAnsi="仿宋_GB2312" w:cs="仿宋_GB2312" w:eastAsia="仿宋_GB2312"/>
                <w:sz w:val="21"/>
                <w:color w:val="000000"/>
              </w:rPr>
              <w:t>本项目共分三部分，第一部分对临潼中心广场进行提升改造，第二部分对东三岔</w:t>
            </w:r>
            <w:r>
              <w:rPr>
                <w:rFonts w:ascii="仿宋_GB2312" w:hAnsi="仿宋_GB2312" w:cs="仿宋_GB2312" w:eastAsia="仿宋_GB2312"/>
                <w:sz w:val="21"/>
                <w:color w:val="000000"/>
              </w:rPr>
              <w:t>B1、B2出入口及银桥大道C出入口周边口袋公园提升改造，第三部分对银桥大道部分路段道路进行提升改造，主要内容包括上述三部分的施工图范围内的全部设计内容（含施工图预算）。</w:t>
            </w:r>
          </w:p>
          <w:p>
            <w:pPr>
              <w:pStyle w:val="null3"/>
            </w:pPr>
            <w:r>
              <w:rPr>
                <w:rFonts w:ascii="仿宋_GB2312" w:hAnsi="仿宋_GB2312" w:cs="仿宋_GB2312" w:eastAsia="仿宋_GB2312"/>
                <w:sz w:val="21"/>
                <w:color w:val="000000"/>
              </w:rPr>
              <w:t>（一）临潼中心广场提升改造</w:t>
            </w:r>
          </w:p>
          <w:p>
            <w:pPr>
              <w:pStyle w:val="null3"/>
              <w:ind w:firstLine="428"/>
            </w:pPr>
            <w:r>
              <w:rPr>
                <w:rFonts w:ascii="仿宋_GB2312" w:hAnsi="仿宋_GB2312" w:cs="仿宋_GB2312" w:eastAsia="仿宋_GB2312"/>
                <w:sz w:val="21"/>
                <w:color w:val="000000"/>
              </w:rPr>
              <w:t>临潼广场占地总面积约为</w:t>
            </w:r>
            <w:r>
              <w:rPr>
                <w:rFonts w:ascii="仿宋_GB2312" w:hAnsi="仿宋_GB2312" w:cs="仿宋_GB2312" w:eastAsia="仿宋_GB2312"/>
                <w:sz w:val="21"/>
                <w:color w:val="000000"/>
              </w:rPr>
              <w:t>4.38万平米，更换破损陈旧的铺装、坐凳等基础设施，消除安全隐患；在地铁出入口及周边新建挡墙、花池、条形座凳、无障碍坡道、标识标牌及成品垃圾箱等基础设施；对广场现有一组LED显示屏进行更换；增加国防教育、体育运动、休闲活动等空间与设施。具体规模如下：</w:t>
            </w:r>
          </w:p>
          <w:p>
            <w:pPr>
              <w:pStyle w:val="null3"/>
              <w:ind w:firstLine="428"/>
            </w:pPr>
            <w:r>
              <w:rPr>
                <w:rFonts w:ascii="仿宋_GB2312" w:hAnsi="仿宋_GB2312" w:cs="仿宋_GB2312" w:eastAsia="仿宋_GB2312"/>
                <w:sz w:val="21"/>
                <w:color w:val="000000"/>
              </w:rPr>
              <w:t>1.人行道铺装改造：对广场一周人行道铺装及道牙进行更换,将铺装更换为透水砖，增加慢跑道，面积约4574m²。</w:t>
            </w:r>
          </w:p>
          <w:p>
            <w:pPr>
              <w:pStyle w:val="null3"/>
              <w:ind w:firstLine="428"/>
            </w:pPr>
            <w:r>
              <w:rPr>
                <w:rFonts w:ascii="仿宋_GB2312" w:hAnsi="仿宋_GB2312" w:cs="仿宋_GB2312" w:eastAsia="仿宋_GB2312"/>
                <w:sz w:val="21"/>
                <w:color w:val="000000"/>
              </w:rPr>
              <w:t>2.地铁占用区域恢复:主要是恢复部分绿地、地面硬质铺装以及与现状相衔接的花池，对现状靠近银桥大道挡墙，局部保留，局部后退，空出临街绿地，面积约10406m²。</w:t>
            </w:r>
          </w:p>
          <w:p>
            <w:pPr>
              <w:pStyle w:val="null3"/>
              <w:ind w:firstLine="428"/>
            </w:pPr>
            <w:r>
              <w:rPr>
                <w:rFonts w:ascii="仿宋_GB2312" w:hAnsi="仿宋_GB2312" w:cs="仿宋_GB2312" w:eastAsia="仿宋_GB2312"/>
                <w:sz w:val="21"/>
                <w:color w:val="000000"/>
              </w:rPr>
              <w:t>3.原场地提升改造：对现状广场、园路内的硬质铺装、花池外贴面进行提升改造，面积约28820m²。</w:t>
            </w:r>
          </w:p>
          <w:p>
            <w:pPr>
              <w:pStyle w:val="null3"/>
              <w:ind w:firstLine="428"/>
            </w:pPr>
            <w:r>
              <w:rPr>
                <w:rFonts w:ascii="仿宋_GB2312" w:hAnsi="仿宋_GB2312" w:cs="仿宋_GB2312" w:eastAsia="仿宋_GB2312"/>
                <w:sz w:val="21"/>
                <w:color w:val="000000"/>
              </w:rPr>
              <w:t>同步改造建设灌溉工程、排水工程、照明工程。</w:t>
            </w:r>
          </w:p>
          <w:p>
            <w:pPr>
              <w:pStyle w:val="null3"/>
            </w:pPr>
            <w:r>
              <w:rPr>
                <w:rFonts w:ascii="仿宋_GB2312" w:hAnsi="仿宋_GB2312" w:cs="仿宋_GB2312" w:eastAsia="仿宋_GB2312"/>
                <w:sz w:val="21"/>
                <w:color w:val="000000"/>
              </w:rPr>
              <w:t>（二）东三岔</w:t>
            </w:r>
            <w:r>
              <w:rPr>
                <w:rFonts w:ascii="仿宋_GB2312" w:hAnsi="仿宋_GB2312" w:cs="仿宋_GB2312" w:eastAsia="仿宋_GB2312"/>
                <w:sz w:val="21"/>
                <w:color w:val="000000"/>
              </w:rPr>
              <w:t>B1、B2出入口及银桥大道C出入口周边口袋公园提升改造</w:t>
            </w:r>
          </w:p>
          <w:p>
            <w:pPr>
              <w:pStyle w:val="null3"/>
              <w:ind w:firstLine="428"/>
            </w:pPr>
            <w:r>
              <w:rPr>
                <w:rFonts w:ascii="仿宋_GB2312" w:hAnsi="仿宋_GB2312" w:cs="仿宋_GB2312" w:eastAsia="仿宋_GB2312"/>
                <w:sz w:val="21"/>
                <w:color w:val="000000"/>
              </w:rPr>
              <w:t>对三处地铁出入口周边的地面铺装、人行道及绿化进行提升。场地内主要采用</w:t>
            </w:r>
            <w:r>
              <w:rPr>
                <w:rFonts w:ascii="仿宋_GB2312" w:hAnsi="仿宋_GB2312" w:cs="仿宋_GB2312" w:eastAsia="仿宋_GB2312"/>
                <w:sz w:val="21"/>
                <w:color w:val="000000"/>
              </w:rPr>
              <w:t>PC仿石砖，局部采用透水混凝土，人行道采用灰色透水砖、黄色盲道砖进行铺装。新增高台花池、花池座椅；场地内设置条形座椅、圆形树池座椅、黑色卵石形座椅；增加法治宣传牌3个；增加绿化带和坐凳等休息设施。其中东三岔站B1口周边口袋公园占地面积约1067m²，东三岔站B2口周边口袋公园占地面积约1284m²，银桥大道站C口周边口袋公园占地面积约3211㎡。</w:t>
            </w:r>
          </w:p>
          <w:p>
            <w:pPr>
              <w:pStyle w:val="null3"/>
              <w:ind w:firstLine="428"/>
            </w:pPr>
            <w:r>
              <w:rPr>
                <w:rFonts w:ascii="仿宋_GB2312" w:hAnsi="仿宋_GB2312" w:cs="仿宋_GB2312" w:eastAsia="仿宋_GB2312"/>
                <w:sz w:val="21"/>
                <w:color w:val="000000"/>
              </w:rPr>
              <w:t>(三)银桥大道道路提升改造</w:t>
            </w:r>
          </w:p>
          <w:p>
            <w:pPr>
              <w:pStyle w:val="null3"/>
              <w:ind w:firstLine="428"/>
            </w:pPr>
            <w:r>
              <w:rPr>
                <w:rFonts w:ascii="仿宋_GB2312" w:hAnsi="仿宋_GB2312" w:cs="仿宋_GB2312" w:eastAsia="仿宋_GB2312"/>
                <w:sz w:val="21"/>
                <w:color w:val="000000"/>
              </w:rPr>
              <w:t>本次银桥大道改造范围南起银桥大道与秦陵北路交叉口，北至银桥大道与桃源路交叉口，道路全长</w:t>
            </w:r>
            <w:r>
              <w:rPr>
                <w:rFonts w:ascii="仿宋_GB2312" w:hAnsi="仿宋_GB2312" w:cs="仿宋_GB2312" w:eastAsia="仿宋_GB2312"/>
                <w:sz w:val="21"/>
                <w:color w:val="000000"/>
              </w:rPr>
              <w:t>514.317米，对银桥大道现状水泥路面加铺沥青面层进行白改黑改造，改造面积约15664平方米；对现状道路路面病害、沉降部分进行病害处理，改造面积约2350平方米；对银桥大道现状人行道挖除新建，改造面积约2846平方米；同步拆除新建路缘石、树坑等附属设施。路面改造后同步施划交通标线。</w:t>
            </w:r>
          </w:p>
          <w:p>
            <w:pPr>
              <w:pStyle w:val="null3"/>
              <w:spacing w:before="180"/>
              <w:ind w:right="105"/>
            </w:pPr>
            <w:r>
              <w:rPr>
                <w:rFonts w:ascii="仿宋_GB2312" w:hAnsi="仿宋_GB2312" w:cs="仿宋_GB2312" w:eastAsia="仿宋_GB2312"/>
                <w:sz w:val="21"/>
                <w:color w:val="000000"/>
              </w:rPr>
              <w:t>3</w:t>
            </w:r>
            <w:r>
              <w:rPr>
                <w:rFonts w:ascii="仿宋_GB2312" w:hAnsi="仿宋_GB2312" w:cs="仿宋_GB2312" w:eastAsia="仿宋_GB2312"/>
                <w:sz w:val="21"/>
                <w:color w:val="000000"/>
              </w:rPr>
              <w:t>、设计周期：</w:t>
            </w:r>
            <w:r>
              <w:rPr>
                <w:rFonts w:ascii="仿宋_GB2312" w:hAnsi="仿宋_GB2312" w:cs="仿宋_GB2312" w:eastAsia="仿宋_GB2312"/>
              </w:rPr>
              <w:t xml:space="preserve"> </w:t>
            </w:r>
            <w:r>
              <w:rPr>
                <w:rFonts w:ascii="仿宋_GB2312" w:hAnsi="仿宋_GB2312" w:cs="仿宋_GB2312" w:eastAsia="仿宋_GB2312"/>
                <w:sz w:val="21"/>
                <w:color w:val="000000"/>
              </w:rPr>
              <w:t>自合同签订之日起</w:t>
            </w:r>
            <w:r>
              <w:rPr>
                <w:rFonts w:ascii="仿宋_GB2312" w:hAnsi="仿宋_GB2312" w:cs="仿宋_GB2312" w:eastAsia="仿宋_GB2312"/>
                <w:sz w:val="21"/>
                <w:color w:val="000000"/>
              </w:rPr>
              <w:t>15</w:t>
            </w:r>
            <w:r>
              <w:rPr>
                <w:rFonts w:ascii="仿宋_GB2312" w:hAnsi="仿宋_GB2312" w:cs="仿宋_GB2312" w:eastAsia="仿宋_GB2312"/>
                <w:sz w:val="21"/>
                <w:color w:val="000000"/>
              </w:rPr>
              <w:t>日历天内。</w:t>
            </w:r>
          </w:p>
          <w:p>
            <w:pPr>
              <w:pStyle w:val="null3"/>
              <w:spacing w:before="195"/>
            </w:pPr>
            <w:r>
              <w:rPr>
                <w:rFonts w:ascii="仿宋_GB2312" w:hAnsi="仿宋_GB2312" w:cs="仿宋_GB2312" w:eastAsia="仿宋_GB2312"/>
              </w:rPr>
              <w:t>4、质量标准：符合国家规范验收“合格”标准。</w:t>
            </w:r>
          </w:p>
          <w:p>
            <w:pPr>
              <w:pStyle w:val="null3"/>
              <w:spacing w:before="180"/>
            </w:pPr>
            <w:r>
              <w:rPr>
                <w:rFonts w:ascii="仿宋_GB2312" w:hAnsi="仿宋_GB2312" w:cs="仿宋_GB2312" w:eastAsia="仿宋_GB2312"/>
                <w:sz w:val="21"/>
                <w:color w:val="000000"/>
              </w:rPr>
              <w:t>5</w:t>
            </w:r>
            <w:r>
              <w:rPr>
                <w:rFonts w:ascii="仿宋_GB2312" w:hAnsi="仿宋_GB2312" w:cs="仿宋_GB2312" w:eastAsia="仿宋_GB2312"/>
                <w:sz w:val="21"/>
                <w:color w:val="000000"/>
              </w:rPr>
              <w:t>、商务及服务要求</w:t>
            </w:r>
          </w:p>
          <w:p>
            <w:pPr>
              <w:pStyle w:val="null3"/>
              <w:spacing w:before="180"/>
              <w:ind w:right="105"/>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）付款条件（进度和方式</w:t>
            </w:r>
            <w:r>
              <w:rPr>
                <w:rFonts w:ascii="仿宋_GB2312" w:hAnsi="仿宋_GB2312" w:cs="仿宋_GB2312" w:eastAsia="仿宋_GB2312"/>
                <w:sz w:val="21"/>
                <w:color w:val="000000"/>
              </w:rPr>
              <w:t>）：</w:t>
            </w:r>
            <w:r>
              <w:rPr>
                <w:rFonts w:ascii="仿宋_GB2312" w:hAnsi="仿宋_GB2312" w:cs="仿宋_GB2312" w:eastAsia="仿宋_GB2312"/>
                <w:sz w:val="21"/>
                <w:color w:val="000000"/>
              </w:rPr>
              <w:t>乙方完成初步设计图纸并交付甲方后，达到付款条件起</w:t>
            </w:r>
            <w:r>
              <w:rPr>
                <w:rFonts w:ascii="仿宋_GB2312" w:hAnsi="仿宋_GB2312" w:cs="仿宋_GB2312" w:eastAsia="仿宋_GB2312"/>
                <w:sz w:val="21"/>
                <w:color w:val="000000"/>
              </w:rPr>
              <w:t>10日内，支付合同总金额的</w:t>
            </w:r>
            <w:r>
              <w:rPr>
                <w:rFonts w:ascii="仿宋_GB2312" w:hAnsi="仿宋_GB2312" w:cs="仿宋_GB2312" w:eastAsia="仿宋_GB2312"/>
                <w:sz w:val="21"/>
                <w:color w:val="000000"/>
              </w:rPr>
              <w:t>4</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乙方完成施工图设计文件交付甲方并通过评审后，达到付款条件起</w:t>
            </w:r>
            <w:r>
              <w:rPr>
                <w:rFonts w:ascii="仿宋_GB2312" w:hAnsi="仿宋_GB2312" w:cs="仿宋_GB2312" w:eastAsia="仿宋_GB2312"/>
                <w:sz w:val="21"/>
                <w:color w:val="000000"/>
              </w:rPr>
              <w:t xml:space="preserve">10日内，支付合同总金额的 </w:t>
            </w:r>
            <w:r>
              <w:rPr>
                <w:rFonts w:ascii="仿宋_GB2312" w:hAnsi="仿宋_GB2312" w:cs="仿宋_GB2312" w:eastAsia="仿宋_GB2312"/>
                <w:sz w:val="21"/>
                <w:color w:val="000000"/>
              </w:rPr>
              <w:t>4</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待工程竣工验收合格后，达到付款条件起</w:t>
            </w:r>
            <w:r>
              <w:rPr>
                <w:rFonts w:ascii="仿宋_GB2312" w:hAnsi="仿宋_GB2312" w:cs="仿宋_GB2312" w:eastAsia="仿宋_GB2312"/>
                <w:sz w:val="21"/>
                <w:color w:val="000000"/>
              </w:rPr>
              <w:t>10日内，支付合同总金额的</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p>
          <w:p>
            <w:pPr>
              <w:pStyle w:val="null3"/>
              <w:spacing w:before="180"/>
              <w:ind w:right="150"/>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）售后服务要求</w:t>
            </w:r>
            <w:r>
              <w:rPr>
                <w:rFonts w:ascii="仿宋_GB2312" w:hAnsi="仿宋_GB2312" w:cs="仿宋_GB2312" w:eastAsia="仿宋_GB2312"/>
              </w:rPr>
              <w:t>：</w:t>
            </w:r>
            <w:r>
              <w:rPr>
                <w:rFonts w:ascii="仿宋_GB2312" w:hAnsi="仿宋_GB2312" w:cs="仿宋_GB2312" w:eastAsia="仿宋_GB2312"/>
                <w:sz w:val="21"/>
                <w:color w:val="000000"/>
              </w:rPr>
              <w:t>甲方在验收备案设计图纸审核过程中若发现错误</w:t>
            </w:r>
            <w:r>
              <w:rPr>
                <w:rFonts w:ascii="仿宋_GB2312" w:hAnsi="仿宋_GB2312" w:cs="仿宋_GB2312" w:eastAsia="仿宋_GB2312"/>
                <w:sz w:val="21"/>
                <w:color w:val="000000"/>
              </w:rPr>
              <w:t>或异议处，乙方须配合甲</w:t>
            </w:r>
            <w:r>
              <w:rPr>
                <w:rFonts w:ascii="仿宋_GB2312" w:hAnsi="仿宋_GB2312" w:cs="仿宋_GB2312" w:eastAsia="仿宋_GB2312"/>
                <w:sz w:val="21"/>
                <w:color w:val="000000"/>
              </w:rPr>
              <w:t>方无偿进行方案修改，直至验收合格。</w:t>
            </w:r>
          </w:p>
          <w:p>
            <w:pPr>
              <w:pStyle w:val="null3"/>
              <w:spacing w:before="195"/>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）采购标的需实现的采购目标：满足项目工程设计需要。</w:t>
            </w:r>
          </w:p>
          <w:p>
            <w:pPr>
              <w:pStyle w:val="null3"/>
              <w:spacing w:before="180"/>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）需执行的标准要求：满足相关技术规范及深度要求。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成果：成果应包括施工图设计文件、预算文件及电子版文件。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项目完成后，供应商提出验收申请，采购人组织对供应商的服务及报告进行验收，验收合格出具验收合格单。验收依据：1.采购文件；2.响应文件；3.方案评审通过记录。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乙方完成初步设计图纸并交付甲方后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乙方完成施工图设计文件交付甲方并通过评审后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按合同要求提供服务或服务质量不能满足采购方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本项目所属行业为其他未列明行业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报价表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供应商需具备建设行政主管部门颁发的工程设计综合资质甲级资质或市政行业工程设计乙级及以上资质或风景园林工程设计乙级及以上资质；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供应商拟项目负责人须具备市政公用工程专业二级及以上注册建筑师资格或园林相关专业高级技术职称；</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中小企业采购情况</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企业类似业绩.docx 响应函 相关资格证明材料.docx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报价表 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完善、可靠的设计实施方案：对本项目理解深刻，总体设计思路符合国家相关要求、技术规范，实施方案满足文件要求，设计内容全面、思路清晰得12分，设计内容较为全面、思路基本可行得9分，设计内容较为一般、思路较为可行得6分；设计内容欠缺、薄弱较差得3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对本项目的重点难点进行分析，提出详细的应对措施及合理化建议：重点难点分析全面、针对性强，应对措施及合理化建议具体、全面，可实施性强得10分；重点难点分析较为可行，应对措施及合理化建议基本全面得7分；重点难点分析较为片面，应对措施及合理化建议一般得4分，重点难点分析内容缺失；应对措施及合理化建议无针对性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工作方案重点划分合理，设计技术路线成熟可靠得8分，方案重点划分基本满足设计需求，设计技术路线较为可行得5分；方案针对性薄弱，技术思路较差得2分，未提供得0分。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设计质量控制的保证措施</w:t>
            </w:r>
          </w:p>
        </w:tc>
        <w:tc>
          <w:tcPr>
            <w:tcW w:type="dxa" w:w="2492"/>
          </w:tcPr>
          <w:p>
            <w:pPr>
              <w:pStyle w:val="null3"/>
            </w:pPr>
            <w:r>
              <w:rPr>
                <w:rFonts w:ascii="仿宋_GB2312" w:hAnsi="仿宋_GB2312" w:cs="仿宋_GB2312" w:eastAsia="仿宋_GB2312"/>
              </w:rPr>
              <w:t>设计质量保障内容全面、针对性强，保证措施完整、可操作性强的，根据响应情况得10分；设计质量控制的保证措施较为完整、有力，根据响应情况得7分；提供设计质量控制的保证措施一般，根据响应情况得4分；提供设计质量控制的保证措施差，根据响应情况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时间进度安排计划</w:t>
            </w:r>
          </w:p>
        </w:tc>
        <w:tc>
          <w:tcPr>
            <w:tcW w:type="dxa" w:w="2492"/>
          </w:tcPr>
          <w:p>
            <w:pPr>
              <w:pStyle w:val="null3"/>
            </w:pPr>
            <w:r>
              <w:rPr>
                <w:rFonts w:ascii="仿宋_GB2312" w:hAnsi="仿宋_GB2312" w:cs="仿宋_GB2312" w:eastAsia="仿宋_GB2312"/>
              </w:rPr>
              <w:t>投标人提供进度管理方案，进度管理措施、进度保障内容描述清晰、完整、合理，针对性、可操作性强的，得10分；进度管理措施、进度保障等内容描述基本清晰、完整、合理的，得7分；进度管理措施、进度保障等内容描述较差且内容缺失，得4分；进度管理措施、进度保障措施不全且无针对性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设计服务组织的保证措施</w:t>
            </w:r>
          </w:p>
        </w:tc>
        <w:tc>
          <w:tcPr>
            <w:tcW w:type="dxa" w:w="2492"/>
          </w:tcPr>
          <w:p>
            <w:pPr>
              <w:pStyle w:val="null3"/>
            </w:pPr>
            <w:r>
              <w:rPr>
                <w:rFonts w:ascii="仿宋_GB2312" w:hAnsi="仿宋_GB2312" w:cs="仿宋_GB2312" w:eastAsia="仿宋_GB2312"/>
              </w:rPr>
              <w:t>投标人提供设计组织方案管理措施，组织、进度、质量、沟通、风险等内容描述详细全面、各项措施合理、针对性强的，得8分；设计组织方案中组织、进度、质量、沟通、风险等内容描述清晰，方案合理、可行、完整的，得5分；设计服务组织方案措施不全或内容简单得，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对后期服务的保证措施 、能够处理各类紧急事项的措施，保证项目实施，能够保证在规定的时间解决问题，承诺内容切实可行得8分；后期服务基本齐全，针对性一般得5分；后期服务方案较差且无针对性得2分，未提供得0分。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提供保密措施，保密措施考虑全面、内容完整、重点突出、具有针对性和可行性的，得7分；保密措施考虑较为全面、内容较为完整、重点内容体现、较有针对性和可行性的，得4分；保密措施考虑不够全面、内容不够完整、重点内容未体现、针对性和可行性较差的，得1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组织机构设置及主要人员安排</w:t>
            </w:r>
          </w:p>
        </w:tc>
        <w:tc>
          <w:tcPr>
            <w:tcW w:type="dxa" w:w="2492"/>
          </w:tcPr>
          <w:p>
            <w:pPr>
              <w:pStyle w:val="null3"/>
            </w:pPr>
            <w:r>
              <w:rPr>
                <w:rFonts w:ascii="仿宋_GB2312" w:hAnsi="仿宋_GB2312" w:cs="仿宋_GB2312" w:eastAsia="仿宋_GB2312"/>
              </w:rPr>
              <w:t>项目部组织结构设置合理、项目部关键岗位人员配备及职责划分清晰明确得7分，组织结构设置基本可行，项目部关键岗位及职责划分基本满足得4分，组织结构设置欠缺，项目部关键岗位及职责划分薄弱较差得1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01月至今具有类似项目业绩，一项得2分，最多得10分。（须附类似项目业绩的成交（中标）通知书或合同的复印件，时间以合同签订时间为准，并加盖公章）。注：类似项目业绩是指市政工程或园林绿化工程类似项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满足磋商文件要求且投标价格最低的磋商报价为评标基准价，其价格分为满分。其他供应商的价格分统一按照下列公式计算：投标报价得分=（评标基准价/投标报价）×投标报价总分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详见附件：企业类似业绩.docx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