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版本号：ZXGJLTFGS-2025--002（3）20250612001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2025年第一批省级残疾人就业保障金(残疾人托养和照护服务项目)(第三包二次)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ZXGJLTFGS-2025--002（3）</w:t>
      </w:r>
      <w:r>
        <w:br/>
      </w:r>
      <w:r>
        <w:br/>
      </w:r>
      <w:r>
        <w:br/>
      </w:r>
    </w:p>
    <w:p>
      <w:pPr>
        <w:pStyle w:val="null3"/>
        <w:jc w:val="center"/>
        <w:outlineLvl w:val="2"/>
      </w:pPr>
      <w:r>
        <w:rPr>
          <w:rFonts w:ascii="仿宋_GB2312" w:hAnsi="仿宋_GB2312" w:cs="仿宋_GB2312" w:eastAsia="仿宋_GB2312"/>
          <w:sz w:val="28"/>
          <w:b/>
        </w:rPr>
        <w:t>西安市临潼区残疾人联合会</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西安市临潼区残疾人联合会</w:t>
      </w:r>
      <w:r>
        <w:rPr>
          <w:rFonts w:ascii="仿宋_GB2312" w:hAnsi="仿宋_GB2312" w:cs="仿宋_GB2312" w:eastAsia="仿宋_GB2312"/>
        </w:rPr>
        <w:t>委托，拟对</w:t>
      </w:r>
      <w:r>
        <w:rPr>
          <w:rFonts w:ascii="仿宋_GB2312" w:hAnsi="仿宋_GB2312" w:cs="仿宋_GB2312" w:eastAsia="仿宋_GB2312"/>
        </w:rPr>
        <w:t>2025年第一批省级残疾人就业保障金(残疾人托养和照护服务项目)(第三包二次)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ZXGJLTFGS-2025--002（3）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2025年第一批省级残疾人就业保障金(残疾人托养和照护服务项目)(第三包二次)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第一批省级残疾人就业保障金（残疾人托养和照护服务项目）采用24小时寄宿制集中居住和照料模式，为日常饮食起居需要专人护理而家庭护理有困难的智力、精神和重度及多重残疾人提供专业化长期生活照料和日常护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临潼区桃源路153号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029-83871056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高美娟、王超、王涛、李博飞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代理服务费收费标准：本项目服务费定额收取，每包人民币叁仟元；成交单位在领取成交通知书前一次性支付该费用。 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西安市临潼区残疾人联合会</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验收标准:参照国家标准《就业年龄段智力、精神及重度肢体残疾人托养服务规范(GB/T37516-2019)》和中国残联《政府购买残疾人托养服务技术标准与规范》等规定。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联系人：高美娟</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第一批省级残疾人就业保障金（残疾人托养和照护服务项目）采用24小时寄宿制集中居住和照料模式，为日常饮食起居需要专人护理而家庭护理有困难的智力、精神和重度及多重残疾人提供专业化长期生活照料和日常护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134,000.00</w:t>
      </w:r>
    </w:p>
    <w:p>
      <w:pPr>
        <w:pStyle w:val="null3"/>
      </w:pPr>
      <w:r>
        <w:rPr>
          <w:rFonts w:ascii="仿宋_GB2312" w:hAnsi="仿宋_GB2312" w:cs="仿宋_GB2312" w:eastAsia="仿宋_GB2312"/>
        </w:rPr>
        <w:t>采购包最高限价（元）: 134,000.00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集中托养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标的名称：集中托养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jc w:val="left"/>
            </w:pPr>
            <w:r>
              <w:rPr>
                <w:rFonts w:ascii="仿宋_GB2312" w:hAnsi="仿宋_GB2312" w:cs="仿宋_GB2312" w:eastAsia="仿宋_GB2312"/>
                <w:b/>
              </w:rPr>
              <w:t>一、项目概况</w:t>
            </w:r>
          </w:p>
          <w:p>
            <w:pPr>
              <w:pStyle w:val="null3"/>
              <w:ind w:firstLine="480"/>
            </w:pPr>
            <w:r>
              <w:rPr>
                <w:rFonts w:ascii="仿宋_GB2312" w:hAnsi="仿宋_GB2312" w:cs="仿宋_GB2312" w:eastAsia="仿宋_GB2312"/>
                <w:sz w:val="21"/>
              </w:rPr>
              <w:t>临潼区2025年第一批省级残疾人就业保障金（残疾人托养和照护服务项目）采用24小时寄宿制集中居住和照料模式，为日常饮食起居需要专人护理而家庭护理有困难的智力、精神和重度及多重残疾人提供专业化长期生活照料和日常护理服务。</w:t>
            </w:r>
          </w:p>
          <w:p>
            <w:pPr>
              <w:pStyle w:val="null3"/>
              <w:spacing w:before="75"/>
              <w:ind w:firstLine="420"/>
              <w:jc w:val="left"/>
            </w:pPr>
            <w:r>
              <w:rPr>
                <w:rFonts w:ascii="仿宋_GB2312" w:hAnsi="仿宋_GB2312" w:cs="仿宋_GB2312" w:eastAsia="仿宋_GB2312"/>
                <w:sz w:val="21"/>
              </w:rPr>
              <w:t>根据《西安市残疾人联合会西安市财政局&lt;关于印发《西安市残疾人托养服务工作实施细则&gt;的通知》（市残联发〔2024〕114号）要求，为解决临潼区内16-59（＜60）周岁的智力残疾人、稳定期的精神残疾人和重度肢体残疾人以及同时存在智力或精神残疾的多重残疾人托养问题（纳入特困人员救助供养条件的残疾人不作为托养服务对象）。</w:t>
            </w:r>
          </w:p>
          <w:p>
            <w:pPr>
              <w:pStyle w:val="null3"/>
              <w:ind w:firstLine="430"/>
              <w:jc w:val="left"/>
            </w:pPr>
            <w:r>
              <w:rPr>
                <w:rFonts w:ascii="仿宋_GB2312" w:hAnsi="仿宋_GB2312" w:cs="仿宋_GB2312" w:eastAsia="仿宋_GB2312"/>
                <w:sz w:val="21"/>
                <w:b/>
              </w:rPr>
              <w:t>二、服务内容及具体要求：</w:t>
            </w:r>
          </w:p>
          <w:p>
            <w:pPr>
              <w:pStyle w:val="null3"/>
              <w:jc w:val="left"/>
            </w:pPr>
            <w:r>
              <w:rPr>
                <w:rFonts w:ascii="仿宋_GB2312" w:hAnsi="仿宋_GB2312" w:cs="仿宋_GB2312" w:eastAsia="仿宋_GB2312"/>
                <w:sz w:val="21"/>
                <w:b/>
              </w:rPr>
              <w:t>（一）基本要求</w:t>
            </w:r>
          </w:p>
          <w:p>
            <w:pPr>
              <w:pStyle w:val="null3"/>
              <w:ind w:firstLine="420"/>
              <w:jc w:val="left"/>
            </w:pPr>
            <w:r>
              <w:rPr>
                <w:rFonts w:ascii="仿宋_GB2312" w:hAnsi="仿宋_GB2312" w:cs="仿宋_GB2312" w:eastAsia="仿宋_GB2312"/>
                <w:sz w:val="21"/>
              </w:rPr>
              <w:t>对符合寄宿制集中托养服务条件并接受服务的残疾人，采用24小时寄宿制集中居住和照料模式，为日常饮食起居需要专人护理而家庭护理有困难的智力、精神和重度肢体及多重残疾人提供专业化长期生活照料和日常护理等服务。</w:t>
            </w:r>
          </w:p>
          <w:p>
            <w:pPr>
              <w:pStyle w:val="null3"/>
              <w:jc w:val="left"/>
            </w:pPr>
            <w:r>
              <w:rPr>
                <w:rFonts w:ascii="仿宋_GB2312" w:hAnsi="仿宋_GB2312" w:cs="仿宋_GB2312" w:eastAsia="仿宋_GB2312"/>
                <w:sz w:val="21"/>
                <w:b/>
              </w:rPr>
              <w:t>（二）服务对象</w:t>
            </w:r>
          </w:p>
          <w:p>
            <w:pPr>
              <w:pStyle w:val="null3"/>
              <w:ind w:firstLine="420"/>
              <w:jc w:val="left"/>
            </w:pPr>
            <w:r>
              <w:rPr>
                <w:rFonts w:ascii="仿宋_GB2312" w:hAnsi="仿宋_GB2312" w:cs="仿宋_GB2312" w:eastAsia="仿宋_GB2312"/>
                <w:sz w:val="21"/>
              </w:rPr>
              <w:t>具有西安市临潼区户籍、年龄16-59（＜60）周岁，并持有第二代或第三代《中华人民共和国残疾人证》，且本人和家庭护理有困难，自愿接受寄宿制集中居住和照料的</w:t>
            </w:r>
            <w:r>
              <w:rPr>
                <w:rFonts w:ascii="仿宋_GB2312" w:hAnsi="仿宋_GB2312" w:cs="仿宋_GB2312" w:eastAsia="仿宋_GB2312"/>
                <w:sz w:val="21"/>
                <w:b/>
              </w:rPr>
              <w:t>智力残疾人</w:t>
            </w:r>
            <w:r>
              <w:rPr>
                <w:rFonts w:ascii="仿宋_GB2312" w:hAnsi="仿宋_GB2312" w:cs="仿宋_GB2312" w:eastAsia="仿宋_GB2312"/>
                <w:sz w:val="21"/>
              </w:rPr>
              <w:t>、</w:t>
            </w:r>
            <w:r>
              <w:rPr>
                <w:rFonts w:ascii="仿宋_GB2312" w:hAnsi="仿宋_GB2312" w:cs="仿宋_GB2312" w:eastAsia="仿宋_GB2312"/>
                <w:sz w:val="21"/>
                <w:b/>
              </w:rPr>
              <w:t>稳定期的精神残疾人（通过专业医疗机构精神科医师风险评估适宜托养）</w:t>
            </w:r>
            <w:r>
              <w:rPr>
                <w:rFonts w:ascii="仿宋_GB2312" w:hAnsi="仿宋_GB2312" w:cs="仿宋_GB2312" w:eastAsia="仿宋_GB2312"/>
                <w:sz w:val="21"/>
              </w:rPr>
              <w:t>、</w:t>
            </w:r>
            <w:r>
              <w:rPr>
                <w:rFonts w:ascii="仿宋_GB2312" w:hAnsi="仿宋_GB2312" w:cs="仿宋_GB2312" w:eastAsia="仿宋_GB2312"/>
                <w:sz w:val="21"/>
                <w:b/>
              </w:rPr>
              <w:t>重度肢体残疾人</w:t>
            </w:r>
            <w:r>
              <w:rPr>
                <w:rFonts w:ascii="仿宋_GB2312" w:hAnsi="仿宋_GB2312" w:cs="仿宋_GB2312" w:eastAsia="仿宋_GB2312"/>
                <w:sz w:val="21"/>
              </w:rPr>
              <w:t>以及</w:t>
            </w:r>
            <w:r>
              <w:rPr>
                <w:rFonts w:ascii="仿宋_GB2312" w:hAnsi="仿宋_GB2312" w:cs="仿宋_GB2312" w:eastAsia="仿宋_GB2312"/>
                <w:sz w:val="21"/>
                <w:b/>
              </w:rPr>
              <w:t>同时存在智力或精神残疾的多重残疾人</w:t>
            </w:r>
            <w:r>
              <w:rPr>
                <w:rFonts w:ascii="仿宋_GB2312" w:hAnsi="仿宋_GB2312" w:cs="仿宋_GB2312" w:eastAsia="仿宋_GB2312"/>
                <w:sz w:val="21"/>
              </w:rPr>
              <w:t>，纳入特困人员救助供养条件的残疾人不作为托养服务对象。</w:t>
            </w:r>
          </w:p>
          <w:p>
            <w:pPr>
              <w:pStyle w:val="null3"/>
              <w:jc w:val="left"/>
            </w:pPr>
            <w:r>
              <w:rPr>
                <w:rFonts w:ascii="仿宋_GB2312" w:hAnsi="仿宋_GB2312" w:cs="仿宋_GB2312" w:eastAsia="仿宋_GB2312"/>
                <w:sz w:val="21"/>
                <w:b/>
              </w:rPr>
              <w:t>（三）经费标准及服务频率要求</w:t>
            </w:r>
          </w:p>
          <w:p>
            <w:pPr>
              <w:pStyle w:val="null3"/>
              <w:ind w:firstLine="420"/>
              <w:jc w:val="left"/>
            </w:pPr>
            <w:r>
              <w:rPr>
                <w:rFonts w:ascii="仿宋_GB2312" w:hAnsi="仿宋_GB2312" w:cs="仿宋_GB2312" w:eastAsia="仿宋_GB2312"/>
                <w:sz w:val="21"/>
              </w:rPr>
              <w:t>采用 24 小时寄宿制集中居住和照料模式。每服务3 个月为 1 人次，每人次购买标准 6000 元，一年2.4万元。个别服务对象确需长期服务的，按具体服务的时间确定人次。计算残疾人集中托养服务补助资金时，每月托养20 天（含 20 天） 以上的按 1 个月补助，10 天（含10天） 以上按80%补助，10天以下不予补助。残疾人托养服务机构撤销或托养服务对象退出的，自撤销和退出当月起停拨托养补助资金。</w:t>
            </w:r>
          </w:p>
          <w:p>
            <w:pPr>
              <w:pStyle w:val="null3"/>
              <w:ind w:firstLine="422"/>
              <w:jc w:val="left"/>
            </w:pPr>
            <w:r>
              <w:rPr>
                <w:rFonts w:ascii="仿宋_GB2312" w:hAnsi="仿宋_GB2312" w:cs="仿宋_GB2312" w:eastAsia="仿宋_GB2312"/>
                <w:sz w:val="21"/>
                <w:b/>
              </w:rPr>
              <w:t>最终按照服务人数及服务时间据实结算，结算金额不超过各包采购预算。</w:t>
            </w:r>
          </w:p>
          <w:p>
            <w:pPr>
              <w:pStyle w:val="null3"/>
              <w:jc w:val="left"/>
            </w:pPr>
            <w:r>
              <w:rPr>
                <w:rFonts w:ascii="仿宋_GB2312" w:hAnsi="仿宋_GB2312" w:cs="仿宋_GB2312" w:eastAsia="仿宋_GB2312"/>
                <w:sz w:val="21"/>
                <w:b/>
              </w:rPr>
              <w:t>（四）服务内容</w:t>
            </w:r>
          </w:p>
          <w:p>
            <w:pPr>
              <w:pStyle w:val="null3"/>
              <w:ind w:firstLine="420"/>
              <w:jc w:val="left"/>
            </w:pPr>
            <w:r>
              <w:rPr>
                <w:rFonts w:ascii="仿宋_GB2312" w:hAnsi="仿宋_GB2312" w:cs="仿宋_GB2312" w:eastAsia="仿宋_GB2312"/>
                <w:sz w:val="21"/>
              </w:rPr>
              <w:t>按照服务对象或监护人的要求，提供以下服务：</w:t>
            </w:r>
          </w:p>
          <w:p>
            <w:pPr>
              <w:pStyle w:val="null3"/>
              <w:ind w:firstLine="420"/>
              <w:jc w:val="left"/>
            </w:pPr>
            <w:r>
              <w:rPr>
                <w:rFonts w:ascii="仿宋_GB2312" w:hAnsi="仿宋_GB2312" w:cs="仿宋_GB2312" w:eastAsia="仿宋_GB2312"/>
                <w:sz w:val="21"/>
              </w:rPr>
              <w:t>1、生活照料和护理</w:t>
            </w:r>
          </w:p>
          <w:p>
            <w:pPr>
              <w:pStyle w:val="null3"/>
              <w:ind w:firstLine="420"/>
              <w:jc w:val="left"/>
            </w:pPr>
            <w:r>
              <w:rPr>
                <w:rFonts w:ascii="仿宋_GB2312" w:hAnsi="仿宋_GB2312" w:cs="仿宋_GB2312" w:eastAsia="仿宋_GB2312"/>
                <w:sz w:val="21"/>
              </w:rPr>
              <w:t>（1）为服务对象提供营养、规律的膳食服务及助餐服务，及点餐、加餐、助餐服务，尊重服务对象饮食习惯；</w:t>
            </w:r>
          </w:p>
          <w:p>
            <w:pPr>
              <w:pStyle w:val="null3"/>
              <w:ind w:firstLine="420"/>
              <w:jc w:val="left"/>
            </w:pPr>
            <w:r>
              <w:rPr>
                <w:rFonts w:ascii="仿宋_GB2312" w:hAnsi="仿宋_GB2312" w:cs="仿宋_GB2312" w:eastAsia="仿宋_GB2312"/>
                <w:sz w:val="21"/>
              </w:rPr>
              <w:t>（2）根据季节和天气情况为服务对象提供合理频率的身体清洁服务和衣物换洗服务，保持服务对象身体清洁、无异味，衣物卫生、整洁、得体；</w:t>
            </w:r>
          </w:p>
          <w:p>
            <w:pPr>
              <w:pStyle w:val="null3"/>
              <w:ind w:firstLine="420"/>
              <w:jc w:val="left"/>
            </w:pPr>
            <w:r>
              <w:rPr>
                <w:rFonts w:ascii="仿宋_GB2312" w:hAnsi="仿宋_GB2312" w:cs="仿宋_GB2312" w:eastAsia="仿宋_GB2312"/>
                <w:sz w:val="21"/>
              </w:rPr>
              <w:t>（3）根据服务对象的需求提供起床、穿衣、就寝、脱衣、整理床铺、如厕等基本起居服务；</w:t>
            </w:r>
          </w:p>
          <w:p>
            <w:pPr>
              <w:pStyle w:val="null3"/>
              <w:ind w:firstLine="420"/>
              <w:jc w:val="left"/>
            </w:pPr>
            <w:r>
              <w:rPr>
                <w:rFonts w:ascii="仿宋_GB2312" w:hAnsi="仿宋_GB2312" w:cs="仿宋_GB2312" w:eastAsia="仿宋_GB2312"/>
                <w:sz w:val="21"/>
              </w:rPr>
              <w:t>（4）协助有需要的服务对象进行户外活动，在天气情况允许的条件下，户外活动每天不少于1小时；</w:t>
            </w:r>
          </w:p>
          <w:p>
            <w:pPr>
              <w:pStyle w:val="null3"/>
              <w:ind w:firstLine="420"/>
              <w:jc w:val="left"/>
            </w:pPr>
            <w:r>
              <w:rPr>
                <w:rFonts w:ascii="仿宋_GB2312" w:hAnsi="仿宋_GB2312" w:cs="仿宋_GB2312" w:eastAsia="仿宋_GB2312"/>
                <w:sz w:val="21"/>
              </w:rPr>
              <w:t>（5）为有需要的服务对象提供护理、服药等服务；</w:t>
            </w:r>
          </w:p>
          <w:p>
            <w:pPr>
              <w:pStyle w:val="null3"/>
              <w:ind w:firstLine="420"/>
              <w:jc w:val="left"/>
            </w:pPr>
            <w:r>
              <w:rPr>
                <w:rFonts w:ascii="仿宋_GB2312" w:hAnsi="仿宋_GB2312" w:cs="仿宋_GB2312" w:eastAsia="仿宋_GB2312"/>
                <w:sz w:val="21"/>
              </w:rPr>
              <w:t>（6）其他合法、安全并经所在服务机构批准同意提供的服务。</w:t>
            </w:r>
          </w:p>
          <w:p>
            <w:pPr>
              <w:pStyle w:val="null3"/>
              <w:ind w:firstLine="420"/>
              <w:jc w:val="left"/>
            </w:pPr>
            <w:r>
              <w:rPr>
                <w:rFonts w:ascii="仿宋_GB2312" w:hAnsi="仿宋_GB2312" w:cs="仿宋_GB2312" w:eastAsia="仿宋_GB2312"/>
                <w:sz w:val="21"/>
              </w:rPr>
              <w:t>2、生活自理能力训练</w:t>
            </w:r>
          </w:p>
          <w:p>
            <w:pPr>
              <w:pStyle w:val="null3"/>
              <w:ind w:firstLine="420"/>
              <w:jc w:val="left"/>
            </w:pPr>
            <w:r>
              <w:rPr>
                <w:rFonts w:ascii="仿宋_GB2312" w:hAnsi="仿宋_GB2312" w:cs="仿宋_GB2312" w:eastAsia="仿宋_GB2312"/>
                <w:sz w:val="21"/>
              </w:rPr>
              <w:t>（1）指导服务对象进行基本生活自理活动训练，使其能够自行洗漱、如厕、穿衣、吃饭等。</w:t>
            </w:r>
          </w:p>
          <w:p>
            <w:pPr>
              <w:pStyle w:val="null3"/>
              <w:ind w:firstLine="420"/>
              <w:jc w:val="left"/>
            </w:pPr>
            <w:r>
              <w:rPr>
                <w:rFonts w:ascii="仿宋_GB2312" w:hAnsi="仿宋_GB2312" w:cs="仿宋_GB2312" w:eastAsia="仿宋_GB2312"/>
                <w:sz w:val="21"/>
              </w:rPr>
              <w:t>（2）指导服务对象学习简单家务和劳动，使其逐渐学会煮饭、择菜、整理床铺、洗衣服、打扫卫生等活动。</w:t>
            </w:r>
          </w:p>
          <w:p>
            <w:pPr>
              <w:pStyle w:val="null3"/>
              <w:ind w:firstLine="420"/>
              <w:jc w:val="left"/>
            </w:pPr>
            <w:r>
              <w:rPr>
                <w:rFonts w:ascii="仿宋_GB2312" w:hAnsi="仿宋_GB2312" w:cs="仿宋_GB2312" w:eastAsia="仿宋_GB2312"/>
                <w:sz w:val="21"/>
              </w:rPr>
              <w:t>（3）设计适宜的训练课程，发掘其生活自理能力方面可能存在的其他潜力。如制作面食、烘焙饼干、缝制衣物等。</w:t>
            </w:r>
          </w:p>
          <w:p>
            <w:pPr>
              <w:pStyle w:val="null3"/>
              <w:ind w:firstLine="420"/>
              <w:jc w:val="left"/>
            </w:pPr>
            <w:r>
              <w:rPr>
                <w:rFonts w:ascii="仿宋_GB2312" w:hAnsi="仿宋_GB2312" w:cs="仿宋_GB2312" w:eastAsia="仿宋_GB2312"/>
                <w:sz w:val="21"/>
              </w:rPr>
              <w:t>（4）根据服务对象的特点制定适宜的训练计划，训练结果应记录存档，并依此调整或完善训练计划。</w:t>
            </w:r>
          </w:p>
          <w:p>
            <w:pPr>
              <w:pStyle w:val="null3"/>
              <w:ind w:firstLine="420"/>
              <w:jc w:val="left"/>
            </w:pPr>
            <w:r>
              <w:rPr>
                <w:rFonts w:ascii="仿宋_GB2312" w:hAnsi="仿宋_GB2312" w:cs="仿宋_GB2312" w:eastAsia="仿宋_GB2312"/>
                <w:sz w:val="21"/>
              </w:rPr>
              <w:t>3、社会适应能力辅导和运动功能训练</w:t>
            </w:r>
          </w:p>
          <w:p>
            <w:pPr>
              <w:pStyle w:val="null3"/>
              <w:ind w:firstLine="420"/>
              <w:jc w:val="left"/>
            </w:pPr>
            <w:r>
              <w:rPr>
                <w:rFonts w:ascii="仿宋_GB2312" w:hAnsi="仿宋_GB2312" w:cs="仿宋_GB2312" w:eastAsia="仿宋_GB2312"/>
                <w:sz w:val="21"/>
              </w:rPr>
              <w:t>（1）为服务对象制定社会适应能力辅导计划，根据其恢复和提升情况适时调整社会适应辅导计划；</w:t>
            </w:r>
          </w:p>
          <w:p>
            <w:pPr>
              <w:pStyle w:val="null3"/>
              <w:ind w:firstLine="420"/>
              <w:jc w:val="left"/>
            </w:pPr>
            <w:r>
              <w:rPr>
                <w:rFonts w:ascii="仿宋_GB2312" w:hAnsi="仿宋_GB2312" w:cs="仿宋_GB2312" w:eastAsia="仿宋_GB2312"/>
                <w:sz w:val="21"/>
              </w:rPr>
              <w:t>（2）为服务对象普及礼仪知识、两性知识等基本社会行为准则和常识；</w:t>
            </w:r>
          </w:p>
          <w:p>
            <w:pPr>
              <w:pStyle w:val="null3"/>
              <w:ind w:firstLine="420"/>
              <w:jc w:val="left"/>
            </w:pPr>
            <w:r>
              <w:rPr>
                <w:rFonts w:ascii="仿宋_GB2312" w:hAnsi="仿宋_GB2312" w:cs="仿宋_GB2312" w:eastAsia="仿宋_GB2312"/>
                <w:sz w:val="21"/>
              </w:rPr>
              <w:t>（3）开展适宜的文化、体育、娱乐活动，可以根据实际情况组织比赛、展示或表演，使其具备基本的人际交往兴趣和能力；</w:t>
            </w:r>
          </w:p>
          <w:p>
            <w:pPr>
              <w:pStyle w:val="null3"/>
              <w:ind w:firstLine="420"/>
              <w:jc w:val="left"/>
            </w:pPr>
            <w:r>
              <w:rPr>
                <w:rFonts w:ascii="仿宋_GB2312" w:hAnsi="仿宋_GB2312" w:cs="仿宋_GB2312" w:eastAsia="仿宋_GB2312"/>
                <w:sz w:val="21"/>
              </w:rPr>
              <w:t>（4）指导服务对象在模拟超市、银行、医院、邮局、公共交通等简单社会场景中进行社会适应性训练，提高其参与社会生活的能力；</w:t>
            </w:r>
          </w:p>
          <w:p>
            <w:pPr>
              <w:pStyle w:val="null3"/>
              <w:ind w:firstLine="420"/>
              <w:jc w:val="left"/>
            </w:pPr>
            <w:r>
              <w:rPr>
                <w:rFonts w:ascii="仿宋_GB2312" w:hAnsi="仿宋_GB2312" w:cs="仿宋_GB2312" w:eastAsia="仿宋_GB2312"/>
                <w:sz w:val="21"/>
              </w:rPr>
              <w:t>（5）为服务对象提供日常心理疏导和心理健康服务；以及教育培训、图书阅览、上网和收看收听电视广播等服务；</w:t>
            </w:r>
          </w:p>
          <w:p>
            <w:pPr>
              <w:pStyle w:val="null3"/>
              <w:ind w:firstLine="420"/>
              <w:jc w:val="left"/>
            </w:pPr>
            <w:r>
              <w:rPr>
                <w:rFonts w:ascii="仿宋_GB2312" w:hAnsi="仿宋_GB2312" w:cs="仿宋_GB2312" w:eastAsia="仿宋_GB2312"/>
                <w:sz w:val="21"/>
              </w:rPr>
              <w:t>（6）为有需求的服务对象提供适当的以运动功能为主的训练，指导其规范使用辅助器具，帮助其巩固医疗康复效果，使其身体运动功能得到恢复或代偿；</w:t>
            </w:r>
          </w:p>
          <w:p>
            <w:pPr>
              <w:pStyle w:val="null3"/>
              <w:ind w:firstLine="420"/>
              <w:jc w:val="left"/>
            </w:pPr>
            <w:r>
              <w:rPr>
                <w:rFonts w:ascii="仿宋_GB2312" w:hAnsi="仿宋_GB2312" w:cs="仿宋_GB2312" w:eastAsia="仿宋_GB2312"/>
                <w:sz w:val="21"/>
              </w:rPr>
              <w:t>（7）根据服务对象的身体情况，开展运动功能评估，适时调整训练计划</w:t>
            </w:r>
          </w:p>
          <w:p>
            <w:pPr>
              <w:pStyle w:val="null3"/>
              <w:ind w:firstLine="420"/>
              <w:jc w:val="left"/>
            </w:pPr>
            <w:r>
              <w:rPr>
                <w:rFonts w:ascii="仿宋_GB2312" w:hAnsi="仿宋_GB2312" w:cs="仿宋_GB2312" w:eastAsia="仿宋_GB2312"/>
                <w:sz w:val="21"/>
              </w:rPr>
              <w:t>（8）其他合法、安全、力所能及并经所在服务机构批准同意提供的服务。</w:t>
            </w:r>
          </w:p>
          <w:p>
            <w:pPr>
              <w:pStyle w:val="null3"/>
              <w:ind w:firstLine="420"/>
              <w:jc w:val="left"/>
            </w:pPr>
            <w:r>
              <w:rPr>
                <w:rFonts w:ascii="仿宋_GB2312" w:hAnsi="仿宋_GB2312" w:cs="仿宋_GB2312" w:eastAsia="仿宋_GB2312"/>
                <w:sz w:val="21"/>
              </w:rPr>
              <w:t>4、职业康复与劳动技能训练</w:t>
            </w:r>
          </w:p>
          <w:p>
            <w:pPr>
              <w:pStyle w:val="null3"/>
              <w:ind w:firstLine="420"/>
              <w:jc w:val="left"/>
            </w:pPr>
            <w:r>
              <w:rPr>
                <w:rFonts w:ascii="仿宋_GB2312" w:hAnsi="仿宋_GB2312" w:cs="仿宋_GB2312" w:eastAsia="仿宋_GB2312"/>
                <w:sz w:val="21"/>
              </w:rPr>
              <w:t>（1）定期开展身体功能评估和劳动能力评估，适时对服务对象的职业适应性进行测评，及时调整职业康复与劳动技能训练计划。</w:t>
            </w:r>
          </w:p>
          <w:p>
            <w:pPr>
              <w:pStyle w:val="null3"/>
              <w:ind w:firstLine="420"/>
              <w:jc w:val="left"/>
            </w:pPr>
            <w:r>
              <w:rPr>
                <w:rFonts w:ascii="仿宋_GB2312" w:hAnsi="仿宋_GB2312" w:cs="仿宋_GB2312" w:eastAsia="仿宋_GB2312"/>
                <w:sz w:val="21"/>
              </w:rPr>
              <w:t>（2）开展与服务对象行为能力相适应的简单基本生产劳动，但在其参与生产劳动之前，应根据个体实际情况进行必要的培训。</w:t>
            </w:r>
          </w:p>
          <w:p>
            <w:pPr>
              <w:pStyle w:val="null3"/>
              <w:ind w:firstLine="420"/>
              <w:jc w:val="left"/>
            </w:pPr>
            <w:r>
              <w:rPr>
                <w:rFonts w:ascii="仿宋_GB2312" w:hAnsi="仿宋_GB2312" w:cs="仿宋_GB2312" w:eastAsia="仿宋_GB2312"/>
                <w:sz w:val="21"/>
              </w:rPr>
              <w:t>（3）根据实际情况开设专业的劳动技能培训课程，开发服务对象的职业能力：有条件的托养服务机构还可定期组织技能展示、竞赛等相关活动。</w:t>
            </w:r>
          </w:p>
          <w:p>
            <w:pPr>
              <w:pStyle w:val="null3"/>
              <w:ind w:firstLine="420"/>
              <w:jc w:val="left"/>
            </w:pPr>
            <w:r>
              <w:rPr>
                <w:rFonts w:ascii="仿宋_GB2312" w:hAnsi="仿宋_GB2312" w:cs="仿宋_GB2312" w:eastAsia="仿宋_GB2312"/>
                <w:sz w:val="21"/>
              </w:rPr>
              <w:t>（4）为有需要的服务对象提供职业指导、职业心理咨询、职业适应评定、职业康复训练、职业介绍等服务。</w:t>
            </w:r>
          </w:p>
          <w:p>
            <w:pPr>
              <w:pStyle w:val="null3"/>
              <w:ind w:firstLine="420"/>
              <w:jc w:val="left"/>
            </w:pPr>
            <w:r>
              <w:rPr>
                <w:rFonts w:ascii="仿宋_GB2312" w:hAnsi="仿宋_GB2312" w:cs="仿宋_GB2312" w:eastAsia="仿宋_GB2312"/>
                <w:sz w:val="21"/>
              </w:rPr>
              <w:t>（5）有条件的机构可开设庇护工场或与爱心企业等社会力量合作建立职业康复车间，使部分服务对象实现辅助性就业，获得一定的劳动收入；要合理处理劳动生产成果和可能获得的收入（处理方式和处理结果应记录并存档）。</w:t>
            </w:r>
          </w:p>
          <w:p>
            <w:pPr>
              <w:pStyle w:val="null3"/>
              <w:jc w:val="left"/>
            </w:pPr>
            <w:r>
              <w:rPr>
                <w:rFonts w:ascii="仿宋_GB2312" w:hAnsi="仿宋_GB2312" w:cs="仿宋_GB2312" w:eastAsia="仿宋_GB2312"/>
                <w:sz w:val="21"/>
                <w:b/>
              </w:rPr>
              <w:t>（五）拟投入本项目人员要求</w:t>
            </w:r>
          </w:p>
          <w:p>
            <w:pPr>
              <w:pStyle w:val="null3"/>
              <w:ind w:firstLine="420"/>
              <w:jc w:val="left"/>
            </w:pPr>
            <w:r>
              <w:rPr>
                <w:rFonts w:ascii="仿宋_GB2312" w:hAnsi="仿宋_GB2312" w:cs="仿宋_GB2312" w:eastAsia="仿宋_GB2312"/>
                <w:sz w:val="21"/>
              </w:rPr>
              <w:t>（1）配备不少于1名专职的管理人员。</w:t>
            </w:r>
          </w:p>
          <w:p>
            <w:pPr>
              <w:pStyle w:val="null3"/>
              <w:ind w:firstLine="420"/>
              <w:jc w:val="left"/>
            </w:pPr>
            <w:r>
              <w:rPr>
                <w:rFonts w:ascii="仿宋_GB2312" w:hAnsi="仿宋_GB2312" w:cs="仿宋_GB2312" w:eastAsia="仿宋_GB2312"/>
                <w:sz w:val="21"/>
              </w:rPr>
              <w:t>①具有社会工作、社会福利、特殊教育、康复、医疗等相关学历或相关专业培训。</w:t>
            </w:r>
          </w:p>
          <w:p>
            <w:pPr>
              <w:pStyle w:val="null3"/>
              <w:ind w:firstLine="420"/>
              <w:jc w:val="left"/>
            </w:pPr>
            <w:r>
              <w:rPr>
                <w:rFonts w:ascii="仿宋_GB2312" w:hAnsi="仿宋_GB2312" w:cs="仿宋_GB2312" w:eastAsia="仿宋_GB2312"/>
                <w:sz w:val="21"/>
              </w:rPr>
              <w:t>②熟悉残疾人相关法律法规与政策，掌握残疾人托养的相关知识。</w:t>
            </w:r>
          </w:p>
          <w:p>
            <w:pPr>
              <w:pStyle w:val="null3"/>
              <w:ind w:firstLine="420"/>
              <w:jc w:val="left"/>
            </w:pPr>
            <w:r>
              <w:rPr>
                <w:rFonts w:ascii="仿宋_GB2312" w:hAnsi="仿宋_GB2312" w:cs="仿宋_GB2312" w:eastAsia="仿宋_GB2312"/>
                <w:sz w:val="21"/>
              </w:rPr>
              <w:t>③有一定的管理工作经验，每年参加不少于1次的相关培训。</w:t>
            </w:r>
          </w:p>
          <w:p>
            <w:pPr>
              <w:pStyle w:val="null3"/>
              <w:ind w:firstLine="420"/>
              <w:jc w:val="left"/>
            </w:pPr>
            <w:r>
              <w:rPr>
                <w:rFonts w:ascii="仿宋_GB2312" w:hAnsi="仿宋_GB2312" w:cs="仿宋_GB2312" w:eastAsia="仿宋_GB2312"/>
                <w:sz w:val="21"/>
              </w:rPr>
              <w:t>（2）配备专职或兼职的各类专业人员。</w:t>
            </w:r>
          </w:p>
          <w:p>
            <w:pPr>
              <w:pStyle w:val="null3"/>
              <w:ind w:firstLine="420"/>
              <w:jc w:val="left"/>
            </w:pPr>
            <w:r>
              <w:rPr>
                <w:rFonts w:ascii="仿宋_GB2312" w:hAnsi="仿宋_GB2312" w:cs="仿宋_GB2312" w:eastAsia="仿宋_GB2312"/>
                <w:sz w:val="21"/>
              </w:rPr>
              <w:t>①专业医务护理人员或康复技术人员不少于1名，从事残疾人就业服务指导、心理咨询或疏导的专业人员不少于1名，专业财务人员不少于1名。有精神残疾服务对象的机构则宜配备精神卫生医师、专业心理治疗师或经过医疗卫生机构上岗培训并考核合格的专业人员进行业务指导；也可配备服务机构所需要的社工等其他专业人员。</w:t>
            </w:r>
          </w:p>
          <w:p>
            <w:pPr>
              <w:pStyle w:val="null3"/>
              <w:ind w:firstLine="420"/>
              <w:jc w:val="left"/>
            </w:pPr>
            <w:r>
              <w:rPr>
                <w:rFonts w:ascii="仿宋_GB2312" w:hAnsi="仿宋_GB2312" w:cs="仿宋_GB2312" w:eastAsia="仿宋_GB2312"/>
                <w:sz w:val="21"/>
              </w:rPr>
              <w:t>②专业人员应具有从事职业须持有有效的从业资格和职业资格证书；有本人身份证明、健康证明等。</w:t>
            </w:r>
          </w:p>
          <w:p>
            <w:pPr>
              <w:pStyle w:val="null3"/>
              <w:ind w:firstLine="420"/>
              <w:jc w:val="left"/>
            </w:pPr>
            <w:r>
              <w:rPr>
                <w:rFonts w:ascii="仿宋_GB2312" w:hAnsi="仿宋_GB2312" w:cs="仿宋_GB2312" w:eastAsia="仿宋_GB2312"/>
                <w:sz w:val="21"/>
              </w:rPr>
              <w:t>③配备一定数量、相对稳定的服务人员。根据服务对象需求配备适宜的护工人员，护工与服务对象的比例不低于1：7；配备有安全保卫工作经验的专职安保人员至少1名；也可配备服务机构所需要的其他服务人员。服务人员从事职业应经相关行业部门的认可，需持证上岗的职业应按相关法律法规规定持有效的从业资格和职业资格证书；具有本人身份证明、健康证明等接受过残疾人身心知识与托养服务培训。</w:t>
            </w:r>
          </w:p>
          <w:p>
            <w:pPr>
              <w:pStyle w:val="null3"/>
              <w:jc w:val="left"/>
            </w:pPr>
            <w:r>
              <w:rPr>
                <w:rFonts w:ascii="仿宋_GB2312" w:hAnsi="仿宋_GB2312" w:cs="仿宋_GB2312" w:eastAsia="仿宋_GB2312"/>
                <w:sz w:val="21"/>
                <w:b/>
              </w:rPr>
              <w:t>（六）场地要求</w:t>
            </w:r>
          </w:p>
          <w:p>
            <w:pPr>
              <w:pStyle w:val="null3"/>
              <w:ind w:firstLine="420"/>
              <w:jc w:val="left"/>
            </w:pPr>
            <w:r>
              <w:rPr>
                <w:rFonts w:ascii="仿宋_GB2312" w:hAnsi="仿宋_GB2312" w:cs="仿宋_GB2312" w:eastAsia="仿宋_GB2312"/>
                <w:sz w:val="21"/>
              </w:rPr>
              <w:t>（1）有固定服务场所，且为自有用房或协议承租不少于两年以上。</w:t>
            </w:r>
          </w:p>
          <w:p>
            <w:pPr>
              <w:pStyle w:val="null3"/>
              <w:ind w:firstLine="420"/>
              <w:jc w:val="left"/>
            </w:pPr>
            <w:r>
              <w:rPr>
                <w:rFonts w:ascii="仿宋_GB2312" w:hAnsi="仿宋_GB2312" w:cs="仿宋_GB2312" w:eastAsia="仿宋_GB2312"/>
                <w:sz w:val="21"/>
              </w:rPr>
              <w:t>（2）建筑总面积不少于100m</w:t>
            </w:r>
            <w:r>
              <w:rPr>
                <w:rFonts w:ascii="仿宋_GB2312" w:hAnsi="仿宋_GB2312" w:cs="仿宋_GB2312" w:eastAsia="仿宋_GB2312"/>
                <w:sz w:val="21"/>
                <w:vertAlign w:val="superscript"/>
              </w:rPr>
              <w:t>2</w:t>
            </w:r>
            <w:r>
              <w:rPr>
                <w:rFonts w:ascii="仿宋_GB2312" w:hAnsi="仿宋_GB2312" w:cs="仿宋_GB2312" w:eastAsia="仿宋_GB2312"/>
                <w:sz w:val="21"/>
              </w:rPr>
              <w:t>，总床位不少于10张，平均每床建筑面积不少于5m</w:t>
            </w:r>
            <w:r>
              <w:rPr>
                <w:rFonts w:ascii="仿宋_GB2312" w:hAnsi="仿宋_GB2312" w:cs="仿宋_GB2312" w:eastAsia="仿宋_GB2312"/>
                <w:sz w:val="21"/>
                <w:vertAlign w:val="superscript"/>
              </w:rPr>
              <w:t>2</w:t>
            </w:r>
            <w:r>
              <w:rPr>
                <w:rFonts w:ascii="仿宋_GB2312" w:hAnsi="仿宋_GB2312" w:cs="仿宋_GB2312" w:eastAsia="仿宋_GB2312"/>
                <w:sz w:val="21"/>
              </w:rPr>
              <w:t>，活动场地不少于50m</w:t>
            </w:r>
            <w:r>
              <w:rPr>
                <w:rFonts w:ascii="仿宋_GB2312" w:hAnsi="仿宋_GB2312" w:cs="仿宋_GB2312" w:eastAsia="仿宋_GB2312"/>
                <w:sz w:val="21"/>
                <w:vertAlign w:val="superscript"/>
              </w:rPr>
              <w:t>2</w:t>
            </w:r>
            <w:r>
              <w:rPr>
                <w:rFonts w:ascii="仿宋_GB2312" w:hAnsi="仿宋_GB2312" w:cs="仿宋_GB2312" w:eastAsia="仿宋_GB2312"/>
                <w:sz w:val="21"/>
              </w:rPr>
              <w:t>。单人间使用面积不少于10㎡；合居型室人均可使用面积不小于6㎡。</w:t>
            </w:r>
          </w:p>
          <w:p>
            <w:pPr>
              <w:pStyle w:val="null3"/>
              <w:ind w:firstLine="420"/>
              <w:jc w:val="left"/>
            </w:pPr>
            <w:r>
              <w:rPr>
                <w:rFonts w:ascii="仿宋_GB2312" w:hAnsi="仿宋_GB2312" w:cs="仿宋_GB2312" w:eastAsia="仿宋_GB2312"/>
                <w:sz w:val="21"/>
              </w:rPr>
              <w:t>（3）机构宜设置在交通便利的城区或近郊区的地段，公共交通服务便利且方残疾人出入。</w:t>
            </w:r>
          </w:p>
          <w:p>
            <w:pPr>
              <w:pStyle w:val="null3"/>
              <w:ind w:firstLine="420"/>
              <w:jc w:val="left"/>
            </w:pPr>
            <w:r>
              <w:rPr>
                <w:rFonts w:ascii="仿宋_GB2312" w:hAnsi="仿宋_GB2312" w:cs="仿宋_GB2312" w:eastAsia="仿宋_GB2312"/>
                <w:sz w:val="21"/>
              </w:rPr>
              <w:t>（4）能提供残疾人寄宿制托养所必需的养护起居室、食堂、浴室、护理保护室、劳动（生产）工作间、文体活动室等功能用房。</w:t>
            </w:r>
          </w:p>
          <w:p>
            <w:pPr>
              <w:pStyle w:val="null3"/>
              <w:ind w:firstLine="420"/>
              <w:jc w:val="left"/>
            </w:pPr>
            <w:r>
              <w:rPr>
                <w:rFonts w:ascii="仿宋_GB2312" w:hAnsi="仿宋_GB2312" w:cs="仿宋_GB2312" w:eastAsia="仿宋_GB2312"/>
                <w:sz w:val="21"/>
              </w:rPr>
              <w:t>（5）房屋建筑质量安全，消防设施符合《消防安全标志设置要求》；公共标识设置应符合《标志用公共信息图形符号》的规定。环境安静、远离污染源及易燃易爆物生产和贮存区、高压线路及其他设施；宜为低层建筑，如与其他建筑合并建设应设管于低层部分；有独立出入口。</w:t>
            </w:r>
          </w:p>
          <w:p>
            <w:pPr>
              <w:pStyle w:val="null3"/>
              <w:ind w:firstLine="420"/>
              <w:jc w:val="left"/>
            </w:pPr>
            <w:r>
              <w:rPr>
                <w:rFonts w:ascii="仿宋_GB2312" w:hAnsi="仿宋_GB2312" w:cs="仿宋_GB2312" w:eastAsia="仿宋_GB2312"/>
                <w:sz w:val="21"/>
              </w:rPr>
              <w:t>（6）托养机构地过道、洗手间、食堂等公共场所使用防滑、防跌地面材料，有无障碍设施，建筑设计符合《无障碍设计规范》的规定要求。</w:t>
            </w:r>
          </w:p>
          <w:p>
            <w:pPr>
              <w:pStyle w:val="null3"/>
              <w:ind w:firstLine="420"/>
              <w:jc w:val="left"/>
            </w:pPr>
            <w:r>
              <w:rPr>
                <w:rFonts w:ascii="仿宋_GB2312" w:hAnsi="仿宋_GB2312" w:cs="仿宋_GB2312" w:eastAsia="仿宋_GB2312"/>
                <w:sz w:val="21"/>
              </w:rPr>
              <w:t>（7）环境整洁、卫生，保持空气流通，具备充足的采光条件。</w:t>
            </w:r>
          </w:p>
          <w:p>
            <w:pPr>
              <w:pStyle w:val="null3"/>
              <w:jc w:val="left"/>
            </w:pPr>
            <w:r>
              <w:rPr>
                <w:rFonts w:ascii="仿宋_GB2312" w:hAnsi="仿宋_GB2312" w:cs="仿宋_GB2312" w:eastAsia="仿宋_GB2312"/>
                <w:sz w:val="21"/>
                <w:b/>
              </w:rPr>
              <w:t>（七）设备要求</w:t>
            </w:r>
          </w:p>
          <w:p>
            <w:pPr>
              <w:pStyle w:val="null3"/>
              <w:ind w:firstLine="420"/>
              <w:jc w:val="left"/>
            </w:pPr>
            <w:r>
              <w:rPr>
                <w:rFonts w:ascii="仿宋_GB2312" w:hAnsi="仿宋_GB2312" w:cs="仿宋_GB2312" w:eastAsia="仿宋_GB2312"/>
                <w:sz w:val="21"/>
              </w:rPr>
              <w:t>（1）服务场所装有空调或其他适用的取暖、降温设备，提供全天候热水供应。</w:t>
            </w:r>
          </w:p>
          <w:p>
            <w:pPr>
              <w:pStyle w:val="null3"/>
              <w:ind w:firstLine="420"/>
              <w:jc w:val="left"/>
            </w:pPr>
            <w:r>
              <w:rPr>
                <w:rFonts w:ascii="仿宋_GB2312" w:hAnsi="仿宋_GB2312" w:cs="仿宋_GB2312" w:eastAsia="仿宋_GB2312"/>
                <w:sz w:val="21"/>
              </w:rPr>
              <w:t>（2）服务场所配置照明设备，公共区域设置应急照明灯。</w:t>
            </w:r>
          </w:p>
          <w:p>
            <w:pPr>
              <w:pStyle w:val="null3"/>
              <w:ind w:firstLine="420"/>
              <w:jc w:val="left"/>
            </w:pPr>
            <w:r>
              <w:rPr>
                <w:rFonts w:ascii="仿宋_GB2312" w:hAnsi="仿宋_GB2312" w:cs="仿宋_GB2312" w:eastAsia="仿宋_GB2312"/>
                <w:sz w:val="21"/>
              </w:rPr>
              <w:t>（3）服务场所配备养护起居、护理保健和文体活动等基本设施，设备完好。</w:t>
            </w:r>
          </w:p>
          <w:p>
            <w:pPr>
              <w:pStyle w:val="null3"/>
              <w:ind w:firstLine="420"/>
              <w:jc w:val="left"/>
            </w:pPr>
            <w:r>
              <w:rPr>
                <w:rFonts w:ascii="仿宋_GB2312" w:hAnsi="仿宋_GB2312" w:cs="仿宋_GB2312" w:eastAsia="仿宋_GB2312"/>
                <w:sz w:val="21"/>
              </w:rPr>
              <w:t>（4）配备远程监控安全管理和互联网云考勤管理设备。</w:t>
            </w:r>
          </w:p>
          <w:p>
            <w:pPr>
              <w:pStyle w:val="null3"/>
              <w:jc w:val="left"/>
            </w:pPr>
            <w:r>
              <w:rPr>
                <w:rFonts w:ascii="仿宋_GB2312" w:hAnsi="仿宋_GB2312" w:cs="仿宋_GB2312" w:eastAsia="仿宋_GB2312"/>
                <w:sz w:val="21"/>
                <w:b/>
              </w:rPr>
              <w:t>（八）其他要求</w:t>
            </w:r>
          </w:p>
          <w:p>
            <w:pPr>
              <w:pStyle w:val="null3"/>
              <w:ind w:firstLine="420"/>
              <w:jc w:val="left"/>
            </w:pPr>
            <w:r>
              <w:rPr>
                <w:rFonts w:ascii="仿宋_GB2312" w:hAnsi="仿宋_GB2312" w:cs="仿宋_GB2312" w:eastAsia="仿宋_GB2312"/>
                <w:sz w:val="21"/>
              </w:rPr>
              <w:t>（1）机构必须具备在规定时间内完成托养服务的能力。</w:t>
            </w:r>
          </w:p>
          <w:p>
            <w:pPr>
              <w:pStyle w:val="null3"/>
              <w:ind w:firstLine="420"/>
              <w:jc w:val="left"/>
            </w:pPr>
            <w:r>
              <w:rPr>
                <w:rFonts w:ascii="仿宋_GB2312" w:hAnsi="仿宋_GB2312" w:cs="仿宋_GB2312" w:eastAsia="仿宋_GB2312"/>
                <w:sz w:val="21"/>
              </w:rPr>
              <w:t>（2）机构应为服务对象提供基本的生活照料和护理、生活自理能力训练、社会适应能力辅导服务，以及职业康复与劳动技能训练、运动功能训练等服务。</w:t>
            </w:r>
          </w:p>
          <w:p>
            <w:pPr>
              <w:pStyle w:val="null3"/>
              <w:ind w:firstLine="420"/>
              <w:jc w:val="left"/>
            </w:pPr>
            <w:r>
              <w:rPr>
                <w:rFonts w:ascii="仿宋_GB2312" w:hAnsi="仿宋_GB2312" w:cs="仿宋_GB2312" w:eastAsia="仿宋_GB2312"/>
                <w:sz w:val="21"/>
              </w:rPr>
              <w:t>（3）机构应逐步建立内设医疗部门或签约专业医疗机构（医师）提供必要的医疗保健服务；内设医疗部门或签约专业医疗机构（医师）应具有诊治残疾人常见病多发病和处理残疾人突发性疾病的能力。</w:t>
            </w:r>
          </w:p>
          <w:p>
            <w:pPr>
              <w:pStyle w:val="null3"/>
              <w:ind w:firstLine="420"/>
              <w:jc w:val="left"/>
            </w:pPr>
            <w:r>
              <w:rPr>
                <w:rFonts w:ascii="仿宋_GB2312" w:hAnsi="仿宋_GB2312" w:cs="仿宋_GB2312" w:eastAsia="仿宋_GB2312"/>
                <w:sz w:val="21"/>
              </w:rPr>
              <w:t>（4）遵守国家有关法律法规，执行残疾人托养服务相关规定，并自觉接受监管部门的监督管理。</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b/>
              </w:rPr>
              <w:t>机构应有健全的机构管理制度，如财务管理、资产管理、档案管理、环境卫生管理、安全管理、志愿者管理、突发事件处理预案、出入机构管理、监护人联系制度等。</w:t>
            </w:r>
          </w:p>
          <w:p>
            <w:pPr>
              <w:pStyle w:val="null3"/>
              <w:ind w:firstLine="420"/>
              <w:jc w:val="left"/>
            </w:pPr>
            <w:r>
              <w:rPr>
                <w:rFonts w:ascii="仿宋_GB2312" w:hAnsi="仿宋_GB2312" w:cs="仿宋_GB2312" w:eastAsia="仿宋_GB2312"/>
                <w:sz w:val="21"/>
              </w:rPr>
              <w:t>（6）机构应建立托养服务评估制度，主要包括两点如下：</w:t>
            </w:r>
          </w:p>
          <w:p>
            <w:pPr>
              <w:pStyle w:val="null3"/>
              <w:ind w:firstLine="420"/>
              <w:jc w:val="left"/>
            </w:pPr>
            <w:r>
              <w:rPr>
                <w:rFonts w:ascii="仿宋_GB2312" w:hAnsi="仿宋_GB2312" w:cs="仿宋_GB2312" w:eastAsia="仿宋_GB2312"/>
                <w:sz w:val="21"/>
              </w:rPr>
              <w:t>①托养服务适宜性评估。申请人初次接受服务前,需由服务提供方依据服务对象的残疾类别和等级证明、专业医疗机构诊断证明和体检报告等对申请人进行托养“适宜性评估”，确定申请人适宜的托养服务方式，并为其建立评估档案。经评估，认定申请人不适宜接受托养服务的，由服务提供方将评估情况分别书面告知服务申请受理方和申请人，并由申请受理方向申请人告知原因，退回申请。</w:t>
            </w:r>
          </w:p>
          <w:p>
            <w:pPr>
              <w:pStyle w:val="null3"/>
              <w:ind w:firstLine="420"/>
              <w:jc w:val="left"/>
            </w:pPr>
            <w:r>
              <w:rPr>
                <w:rFonts w:ascii="仿宋_GB2312" w:hAnsi="仿宋_GB2312" w:cs="仿宋_GB2312" w:eastAsia="仿宋_GB2312"/>
                <w:sz w:val="21"/>
              </w:rPr>
              <w:t>②精神残疾人医治与托养转介评估。申请集中托养、日间照料服务的精神残疾人，必须先由专业医疗机构精神科医师进行风险评估,并出具托养适宜性评估报告。精神残疾人在接受托养服务期间，因病情复发需转介进入医疗机构住院治疗，在治疗期间停止托养服务。医疗治疗结束后，需重新进行托养服务适宜性评估。</w:t>
            </w:r>
          </w:p>
          <w:p>
            <w:pPr>
              <w:pStyle w:val="null3"/>
              <w:ind w:firstLine="420"/>
              <w:jc w:val="left"/>
            </w:pPr>
            <w:r>
              <w:rPr>
                <w:rFonts w:ascii="仿宋_GB2312" w:hAnsi="仿宋_GB2312" w:cs="仿宋_GB2312" w:eastAsia="仿宋_GB2312"/>
                <w:sz w:val="21"/>
              </w:rPr>
              <w:t>（7）机构应健全管理人员、专业人员、服务人员岗位职责，按实际需要明确岗位要求和工作流程，实行岗位责任制。</w:t>
            </w:r>
          </w:p>
          <w:p>
            <w:pPr>
              <w:pStyle w:val="null3"/>
              <w:ind w:firstLine="420"/>
              <w:jc w:val="left"/>
            </w:pPr>
            <w:r>
              <w:rPr>
                <w:rFonts w:ascii="仿宋_GB2312" w:hAnsi="仿宋_GB2312" w:cs="仿宋_GB2312" w:eastAsia="仿宋_GB2312"/>
                <w:sz w:val="21"/>
              </w:rPr>
              <w:t>（8）机构应建立管理人员、专业人员、服务人员岗位进修与学习制度，管理人员每年至少应参加1次以上相关培训，专业人员应定期参加相关习务学习或行业培训，服务人员应定期参加各级残联系统组织的业务培训。</w:t>
            </w:r>
          </w:p>
          <w:p>
            <w:pPr>
              <w:pStyle w:val="null3"/>
              <w:ind w:firstLine="420"/>
              <w:jc w:val="left"/>
            </w:pPr>
            <w:r>
              <w:rPr>
                <w:rFonts w:ascii="仿宋_GB2312" w:hAnsi="仿宋_GB2312" w:cs="仿宋_GB2312" w:eastAsia="仿宋_GB2312"/>
                <w:sz w:val="21"/>
              </w:rPr>
              <w:t>（9）机构应与服务对象签订托养协议，按照协议提供相应服务；采取防范服务风险的制度和措施，为托养对象购买意外伤害保险，或可购买大病险等其他险种：妥善保存和管理服务对象的个人信息，尊重和保护服务对象的个人隐私。</w:t>
            </w:r>
          </w:p>
          <w:p>
            <w:pPr>
              <w:pStyle w:val="null3"/>
              <w:ind w:firstLine="420"/>
              <w:jc w:val="left"/>
            </w:pPr>
            <w:r>
              <w:rPr>
                <w:rFonts w:ascii="仿宋_GB2312" w:hAnsi="仿宋_GB2312" w:cs="仿宋_GB2312" w:eastAsia="仿宋_GB2312"/>
                <w:sz w:val="21"/>
              </w:rPr>
              <w:t>（10）机构应与工作人员签订劳动合同或用工协议，并按照相关规定缴纳社会保险；机构工作人员应遵纪守法，遵守职业道德，尊重和善待残疾人，对待服务对象应文明友善、耐心细致。</w:t>
            </w:r>
          </w:p>
          <w:p>
            <w:pPr>
              <w:pStyle w:val="null3"/>
              <w:ind w:firstLine="430"/>
              <w:jc w:val="left"/>
            </w:pPr>
            <w:r>
              <w:rPr>
                <w:rFonts w:ascii="仿宋_GB2312" w:hAnsi="仿宋_GB2312" w:cs="仿宋_GB2312" w:eastAsia="仿宋_GB2312"/>
                <w:sz w:val="21"/>
                <w:b/>
              </w:rPr>
              <w:t>三、服务期：</w:t>
            </w:r>
            <w:r>
              <w:rPr>
                <w:rFonts w:ascii="仿宋_GB2312" w:hAnsi="仿宋_GB2312" w:cs="仿宋_GB2312" w:eastAsia="仿宋_GB2312"/>
                <w:sz w:val="21"/>
              </w:rPr>
              <w:t>合同签订之日起一年</w:t>
            </w:r>
          </w:p>
          <w:p>
            <w:pPr>
              <w:pStyle w:val="null3"/>
              <w:jc w:val="both"/>
            </w:pPr>
            <w:r>
              <w:rPr>
                <w:rFonts w:ascii="仿宋_GB2312" w:hAnsi="仿宋_GB2312" w:cs="仿宋_GB2312" w:eastAsia="仿宋_GB2312"/>
                <w:sz w:val="21"/>
                <w:b/>
              </w:rPr>
              <w:t xml:space="preserve">  四、服务地点：</w:t>
            </w:r>
            <w:r>
              <w:rPr>
                <w:rFonts w:ascii="仿宋_GB2312" w:hAnsi="仿宋_GB2312" w:cs="仿宋_GB2312" w:eastAsia="仿宋_GB2312"/>
                <w:sz w:val="21"/>
              </w:rPr>
              <w:t>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验收标准:参照国家标准《就业年龄段智力、精神及重度肢体残疾人托养服务规范(GB/T37516-2019)》和中国残联《政府购买残疾人托养服务技术标准与规范》等规定。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项目实施结束后，乙方向甲方递交项目相关资料（包括但不限于残疾人托养档案等），经甲方验收合格待资金到位后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按合同要求提供服务或服务质量不能满足服务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所属行业为其他未列明行业。其他未列明行业的划型标准为：从业人员300人以下的为中小微型企业。其中，从业人员100人及以上的为中型企业；从业人员10人及以上的为小型企业；从业人员10人以下的为微型企业。 2、本项目非专门面向中小企业采购。 3、本项目共分为三个标包。本次招标为第三包二次，三标包（集中托养第三包）采购预算为人民币壹拾叁万肆仟元整（¥134000.00）。 4、为保证项目进度及服务质量，供应商可以参与多个标包但至多成交一个标包。本项目一包二包成交单位可参与投标，但不进入成交候选人推荐。 5、供应商在线制作竞争性磋商响应文件填写标的清单时，服务范围、服务要求、服务标准填写“符合文件要求”；单价填写标包预算；数量填写1。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（2）税收缴纳证明：提供自2024年05月01日至磋商截止日已缴纳的任意一个月的纳税证明或完税证明，依法免税的单位应提供相关证明材料； （3）社会保障资金缴纳证明：提供自2024年05月01日至磋商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标的清单 商务条款偏离表.docx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标的清单 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服务方案及服务应答表.docx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服务方案及服务应答表.docx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针对本项目提出适用于本项目的服务方案，方案包括：①项目背景以及需求分析②生活照料和护理③生活自理能力训练④社会适应能力辅导和运动功能训练⑤职业康复与劳动技能训练。 二、评审标准 1、完整性：方案必须全面，对评审内容中的各项要求有详细描述； 2、可实施性：切合本项目实际情况，提出步骤清晰、合理的方案； 3、针对性：方案能够紧扣项目实际情况，内容科学合理。 三、赋分标准（满分27分） ①项目背景以及需求分析：每完全满足一个评审标准得1分，满分3分； ②生活照料和护理:每完全满足一个评审标准得2分，满分6分； ③生活自理能力训练:每完全满足一个评审标准得2分，满分6分； ④社会适应能力辅导和运动功能训练:每完全满足一个评审标准得2分，满分6分； ⑤职业康复与劳动技能训练:每完全满足一个评审标准得2分，满分6分。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针对供应商拟投入本项目的人员进行评审，评审内容包括：①拟投入人员数量、工作经验②管理制度③拟投入人员相关专业及证书。 二、评审标准 1、完整性：方案必须全面，对评审内容中的各项要求有详细描述； 2、可实施性：切合本项目实际情况，提出步骤清晰、合理的方案； 3、针对性：方案能够紧扣项目实际情况，内容科学合理。 三、赋分标准（满分18分） ①拟投入人员数量、工作经验：每完全满足一个评审标准得2分，满分6分； ②管理制度:每完全满足一个评审标准得2分，满分6分； ③拟投入人员相关专业及证书:每完全满足一个评审标准得2分，满分6分。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场地及设施设备要求</w:t>
            </w:r>
          </w:p>
        </w:tc>
        <w:tc>
          <w:tcPr>
            <w:tcW w:type="dxa" w:w="2492"/>
          </w:tcPr>
          <w:p>
            <w:pPr>
              <w:pStyle w:val="null3"/>
            </w:pPr>
            <w:r>
              <w:rPr>
                <w:rFonts w:ascii="仿宋_GB2312" w:hAnsi="仿宋_GB2312" w:cs="仿宋_GB2312" w:eastAsia="仿宋_GB2312"/>
              </w:rPr>
              <w:t>采购需求中对供应商场地及设备提出了十一条要求，由供应商提供相应佐证材料予以佐证（佐证材料包括但不限于房屋租赁合同或房产证、地图、现场照片等），有一项要求不满足采购文件要求扣两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资产管理制度③档案管理制度④环境卫生管理制度⑤安全管理制度⑥志愿者管理制度⑦突发事件处理预案⑧出入机构管理制度⑨监护人联系制度。 二、评审标准 1、完整性：方案必须全面，对评审内容中的各项要求有详细描述； 2、可实施性：切合本项目实际情况，提出步骤清晰、合理的方案； 3、针对性：方案能够紧扣项目实际情况，内容科学合理。 三、赋分标准（满分27分） ①财务管理制度：每完全满足一个评审标准得1分，满分3分； ②资产管理制度：每完全满足一个评审标准得1分，满分3分； ③档案管理制度：每完全满足一个评审标准得1分，满分3分； ④环境卫生管理制度：每完全满足一个评审标准得1分，满分3分； ⑤安全管理制度：每完全满足一个评审标准得1分，满分3分； ⑥志愿者管理制度：每完全满足一个评审标准得1分，满分3分； ⑦突发事件处理预案：每完全满足一个评审标准得1分，满分3分； ⑧出入机构管理制度：每完全满足一个评审标准得1分，满分3分； ⑨监护人联系制度：每完全满足一个评审标准得1分，满分3分。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供应商提供自2021年1月1日起至今类似项目业绩，业绩以合同为准。（时间以签订的合同日期为准）,每份计2分,最高得6分。注：合同内容须清晰可辨认，否则视为无效合同。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服务方案及服务应答表.docx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详见附件：服务方案及服务应答表.docx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