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版本号：ZBZB-2025-263720250618001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采购盆底磁刺激仪</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ZBZB-2025-2637</w:t>
      </w:r>
      <w:r>
        <w:br/>
      </w:r>
      <w:r>
        <w:br/>
      </w:r>
      <w:r>
        <w:br/>
      </w:r>
    </w:p>
    <w:p>
      <w:pPr>
        <w:pStyle w:val="null3"/>
        <w:jc w:val="center"/>
        <w:outlineLvl w:val="2"/>
      </w:pPr>
      <w:r>
        <w:rPr>
          <w:rFonts w:ascii="仿宋_GB2312" w:hAnsi="仿宋_GB2312" w:cs="仿宋_GB2312" w:eastAsia="仿宋_GB2312"/>
          <w:sz w:val="28"/>
          <w:b/>
        </w:rPr>
        <w:t>西安市临潼区妇幼保健计划生育服务中心</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西安市临潼区妇幼保健计划生育服务中心</w:t>
      </w:r>
      <w:r>
        <w:rPr>
          <w:rFonts w:ascii="仿宋_GB2312" w:hAnsi="仿宋_GB2312" w:cs="仿宋_GB2312" w:eastAsia="仿宋_GB2312"/>
        </w:rPr>
        <w:t>委托，拟对</w:t>
      </w:r>
      <w:r>
        <w:rPr>
          <w:rFonts w:ascii="仿宋_GB2312" w:hAnsi="仿宋_GB2312" w:cs="仿宋_GB2312" w:eastAsia="仿宋_GB2312"/>
        </w:rPr>
        <w:t>采购盆底磁刺激仪</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ZBZB-2025-2637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采购盆底磁刺激仪</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采购盆底磁刺激仪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采购包1（采购盆底磁刺激仪）：属于专门面向中小企业采购。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1、营业执照：企业法人具有有效的营业执照（具备统一社会信用代码）；事业法人应具有有效的事业单位法人证；其他组织应具有合法证明文件；自然人应提供有效的自然人身份证明。并进行电子签章。</w:t>
      </w:r>
    </w:p>
    <w:p>
      <w:pPr>
        <w:pStyle w:val="null3"/>
      </w:pPr>
      <w:r>
        <w:rPr>
          <w:rFonts w:ascii="仿宋_GB2312" w:hAnsi="仿宋_GB2312" w:cs="仿宋_GB2312" w:eastAsia="仿宋_GB2312"/>
        </w:rPr>
        <w:t>2、资质要求：供应商为制造商的需提供《医疗器械生产许可证》及所投产品的《医疗器械注册证》；供应商为代理商的需提供《医疗器械经营许可证》和制造商的《医疗器械生产许可证》及所投产品的《医疗器械注册证》。并进行电子签章。</w:t>
      </w:r>
    </w:p>
    <w:p>
      <w:pPr>
        <w:pStyle w:val="null3"/>
      </w:pPr>
      <w:r>
        <w:rPr>
          <w:rFonts w:ascii="仿宋_GB2312" w:hAnsi="仿宋_GB2312" w:cs="仿宋_GB2312" w:eastAsia="仿宋_GB2312"/>
        </w:rPr>
        <w:t>3、法定代表人（负责人）授权委托书身份证明/法定代表人（负责人）授权委托书：供应商代表应提供法定代表人（负责人）授权委托书（附法定代表人（负责人）及被授权人身份证复印件或扫描件），法定代表人（负责人）直接参加须提供法定代表人（负责人）授权委托书身份证明书及身份证复印件或扫描件。并进行电子签章。</w:t>
      </w:r>
    </w:p>
    <w:p>
      <w:pPr>
        <w:pStyle w:val="null3"/>
      </w:pPr>
      <w:r>
        <w:rPr>
          <w:rFonts w:ascii="仿宋_GB2312" w:hAnsi="仿宋_GB2312" w:cs="仿宋_GB2312" w:eastAsia="仿宋_GB2312"/>
        </w:rPr>
        <w:t>4、财务状况报告：提供2024年度经审计的财务审计报告（成立时间至提交响应文件截止时间不足一年的单位，可提供成立后任意时间段的资产负债表、利润表、现金流量表）或其基本存款账户开户银行出具的本年度资信证明（附开户许可证或基本存款账户信息）。并进行电子签章。</w:t>
      </w:r>
    </w:p>
    <w:p>
      <w:pPr>
        <w:pStyle w:val="null3"/>
      </w:pPr>
      <w:r>
        <w:rPr>
          <w:rFonts w:ascii="仿宋_GB2312" w:hAnsi="仿宋_GB2312" w:cs="仿宋_GB2312" w:eastAsia="仿宋_GB2312"/>
        </w:rPr>
        <w:t>5、税收缴纳证明：提供2024年12月1日至投标截止日已缴纳任意一个月纳税证明或完税证明，依法免税的单位应提供相关证明材料；并进行电子签章。</w:t>
      </w:r>
    </w:p>
    <w:p>
      <w:pPr>
        <w:pStyle w:val="null3"/>
      </w:pPr>
      <w:r>
        <w:rPr>
          <w:rFonts w:ascii="仿宋_GB2312" w:hAnsi="仿宋_GB2312" w:cs="仿宋_GB2312" w:eastAsia="仿宋_GB2312"/>
        </w:rPr>
        <w:t>6、社会保障资金缴纳证明：提供2024年12月1日至投标截止日任意一个月的社会保障资金缴存单据或社保机构开具的社会保险参保缴费情况证明，依法不需要缴纳社会保障资金的单位应提供相关证明材料；并进行电子签章。</w:t>
      </w:r>
    </w:p>
    <w:p>
      <w:pPr>
        <w:pStyle w:val="null3"/>
      </w:pPr>
      <w:r>
        <w:rPr>
          <w:rFonts w:ascii="仿宋_GB2312" w:hAnsi="仿宋_GB2312" w:cs="仿宋_GB2312" w:eastAsia="仿宋_GB2312"/>
        </w:rPr>
        <w:t>7、投标人应具有履行合同所必需的设备和专业技术能力：提供具备履行合同所必需的设备和专业技术能力的证明材料承诺；并进行电子签章。</w:t>
      </w:r>
    </w:p>
    <w:p>
      <w:pPr>
        <w:pStyle w:val="null3"/>
      </w:pPr>
      <w:r>
        <w:rPr>
          <w:rFonts w:ascii="仿宋_GB2312" w:hAnsi="仿宋_GB2312" w:cs="仿宋_GB2312" w:eastAsia="仿宋_GB2312"/>
        </w:rPr>
        <w:t>8、无重大违法记录的书面声明：参加政府采购活动前3年内在经营活动中没有重大违法记录的书面声明；并进行电子签章。</w:t>
      </w:r>
    </w:p>
    <w:p>
      <w:pPr>
        <w:pStyle w:val="null3"/>
      </w:pPr>
      <w:r>
        <w:rPr>
          <w:rFonts w:ascii="仿宋_GB2312" w:hAnsi="仿宋_GB2312" w:cs="仿宋_GB2312" w:eastAsia="仿宋_GB2312"/>
        </w:rPr>
        <w:t>9、信用中国查询：供应商不得为“信用中国”网站（www.creditchi na.gov.cn）中列入失信被执行人和重大税收违法案件当事人名单的供应商，不得为中国政府采购网（www.ccgp.gov.cn）政府采购严重违法失信行为记录名单中被财政部门禁止参加政府采购活动的供应商；并进行电子签章。</w:t>
      </w:r>
    </w:p>
    <w:p>
      <w:pPr>
        <w:pStyle w:val="null3"/>
      </w:pPr>
      <w:r>
        <w:rPr>
          <w:rFonts w:ascii="仿宋_GB2312" w:hAnsi="仿宋_GB2312" w:cs="仿宋_GB2312" w:eastAsia="仿宋_GB2312"/>
        </w:rPr>
        <w:t>10、控股关系：单位负责人为同一人或者存在直接控股、管理关系的不同单位，不得参加同一合同项下的政府采购活动；并进行电子签章。</w:t>
      </w:r>
    </w:p>
    <w:p>
      <w:pPr>
        <w:pStyle w:val="null3"/>
      </w:pPr>
      <w:r>
        <w:rPr>
          <w:rFonts w:ascii="仿宋_GB2312" w:hAnsi="仿宋_GB2312" w:cs="仿宋_GB2312" w:eastAsia="仿宋_GB2312"/>
        </w:rPr>
        <w:t>11、本项目专门面向中小企业采购：本项目专门面向中小企业采购，供应商须为中小企业，并提供声明函；并进行电子签章。</w:t>
      </w:r>
    </w:p>
    <w:p>
      <w:pPr>
        <w:pStyle w:val="null3"/>
      </w:pPr>
      <w:r>
        <w:rPr>
          <w:rFonts w:ascii="仿宋_GB2312" w:hAnsi="仿宋_GB2312" w:cs="仿宋_GB2312" w:eastAsia="仿宋_GB2312"/>
        </w:rPr>
        <w:t>12、非联合体声明：本项目不接受联合体投标；并进行电子签章。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西安市临潼区妇幼保健计划生育服务中心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临潼区西关正街99号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029-83851009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经协商由中标供应商按国家发展和改革委员发改价格【2011】534号文规定取费标准向采购代理机构支付招标代理服务费（包含“招标代理费、会务费（如有）”）；代理服务费由中标供应商在领取成交通知书前，向陕西正邦招标有限责任公司支付。如本项目各包服务费不足伍仟元则供应商按伍仟元支付服务费；名称：陕西正邦招标有限责任公司 开户行：平安银行股西安分行营业部/平安银行西安分行 账号：30205380001889 备注：请注明费用信息“ZBZB-2025-2637招标服务费”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西安市临潼区妇幼保健计划生育服务中心</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西安市临潼区妇幼保健计划生育服务中心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西安市临潼区妇幼保健计划生育服务中心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联系电话：029-85578186转831</w:t>
      </w:r>
    </w:p>
    <w:p>
      <w:pPr>
        <w:pStyle w:val="null3"/>
      </w:pPr>
      <w:r>
        <w:rPr>
          <w:rFonts w:ascii="仿宋_GB2312" w:hAnsi="仿宋_GB2312" w:cs="仿宋_GB2312" w:eastAsia="仿宋_GB2312"/>
        </w:rPr>
        <w:t>地址：西安市雁塔区朱雀大街南段69号长丰园三区5号楼9层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采购盆底磁刺激仪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color w:val="000000"/>
              </w:rPr>
              <w:t>注册证适用范围要求：刺激人体中枢神经和外周神经，用于神经损伤性疾病、腰骶神经功能障碍的辅助治疗；</w:t>
            </w:r>
          </w:p>
          <w:p>
            <w:pPr>
              <w:pStyle w:val="null3"/>
            </w:pPr>
            <w:r>
              <w:rPr>
                <w:rFonts w:ascii="仿宋_GB2312" w:hAnsi="仿宋_GB2312" w:cs="仿宋_GB2312" w:eastAsia="仿宋_GB2312"/>
                <w:sz w:val="24"/>
                <w:color w:val="000000"/>
              </w:rPr>
              <w:t>2.磁刺激产品要同时拥有</w:t>
            </w:r>
            <w:r>
              <w:rPr>
                <w:rFonts w:ascii="仿宋_GB2312" w:hAnsi="仿宋_GB2312" w:cs="仿宋_GB2312" w:eastAsia="仿宋_GB2312"/>
                <w:sz w:val="24"/>
                <w:color w:val="000000"/>
              </w:rPr>
              <w:t>NMPA和FDA等认证</w:t>
            </w:r>
          </w:p>
          <w:p>
            <w:pPr>
              <w:pStyle w:val="null3"/>
            </w:pPr>
            <w:r>
              <w:rPr>
                <w:rFonts w:ascii="仿宋_GB2312" w:hAnsi="仿宋_GB2312" w:cs="仿宋_GB2312" w:eastAsia="仿宋_GB2312"/>
                <w:sz w:val="24"/>
                <w:color w:val="000000"/>
              </w:rPr>
              <w:t>3.设备为分体式结构，磁刺激主机、冷却系统集成在机箱内，冷却系统非外置，座椅独立外置</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0"/>
                <w:color w:val="000000"/>
              </w:rPr>
              <w:t>▲</w:t>
            </w:r>
            <w:r>
              <w:rPr>
                <w:rFonts w:ascii="仿宋_GB2312" w:hAnsi="仿宋_GB2312" w:cs="仿宋_GB2312" w:eastAsia="仿宋_GB2312"/>
                <w:sz w:val="24"/>
                <w:color w:val="000000"/>
              </w:rPr>
              <w:t>设备要求配备主副双屏，主屏医护操作，副屏患者观看，医患可进行实时互动；</w:t>
            </w:r>
          </w:p>
          <w:p>
            <w:pPr>
              <w:pStyle w:val="null3"/>
            </w:pPr>
            <w:r>
              <w:rPr>
                <w:rFonts w:ascii="仿宋_GB2312" w:hAnsi="仿宋_GB2312" w:cs="仿宋_GB2312" w:eastAsia="仿宋_GB2312"/>
                <w:sz w:val="24"/>
                <w:color w:val="000000"/>
              </w:rPr>
              <w:t>5.主屏为触控式操作屏，屏幕尺寸</w:t>
            </w:r>
            <w:r>
              <w:rPr>
                <w:rFonts w:ascii="仿宋_GB2312" w:hAnsi="仿宋_GB2312" w:cs="仿宋_GB2312" w:eastAsia="仿宋_GB2312"/>
                <w:sz w:val="24"/>
                <w:color w:val="000000"/>
              </w:rPr>
              <w:t>≥15寸，无需键盘、鼠标操作</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0"/>
                <w:color w:val="000000"/>
              </w:rPr>
              <w:t>▲</w:t>
            </w:r>
            <w:r>
              <w:rPr>
                <w:rFonts w:ascii="仿宋_GB2312" w:hAnsi="仿宋_GB2312" w:cs="仿宋_GB2312" w:eastAsia="仿宋_GB2312"/>
                <w:sz w:val="24"/>
                <w:color w:val="000000"/>
              </w:rPr>
              <w:t>标配铁芯线圈，线圈刺激深度可达</w:t>
            </w:r>
            <w:r>
              <w:rPr>
                <w:rFonts w:ascii="仿宋_GB2312" w:hAnsi="仿宋_GB2312" w:cs="仿宋_GB2312" w:eastAsia="仿宋_GB2312"/>
                <w:sz w:val="24"/>
                <w:color w:val="000000"/>
              </w:rPr>
              <w:t>≥6cm，</w:t>
            </w:r>
          </w:p>
          <w:p>
            <w:pPr>
              <w:pStyle w:val="null3"/>
            </w:pPr>
            <w:r>
              <w:rPr>
                <w:rFonts w:ascii="仿宋_GB2312" w:hAnsi="仿宋_GB2312" w:cs="仿宋_GB2312" w:eastAsia="仿宋_GB2312"/>
                <w:sz w:val="24"/>
                <w:color w:val="000000"/>
              </w:rPr>
              <w:t>7.输出脉冲重复频率：</w:t>
            </w:r>
            <w:r>
              <w:rPr>
                <w:rFonts w:ascii="仿宋_GB2312" w:hAnsi="仿宋_GB2312" w:cs="仿宋_GB2312" w:eastAsia="仿宋_GB2312"/>
                <w:sz w:val="24"/>
                <w:color w:val="000000"/>
              </w:rPr>
              <w:t>≥7</w:t>
            </w:r>
            <w:r>
              <w:rPr>
                <w:rFonts w:ascii="仿宋_GB2312" w:hAnsi="仿宋_GB2312" w:cs="仿宋_GB2312" w:eastAsia="仿宋_GB2312"/>
                <w:sz w:val="24"/>
                <w:color w:val="000000"/>
              </w:rPr>
              <w:t>5</w:t>
            </w:r>
            <w:r>
              <w:rPr>
                <w:rFonts w:ascii="仿宋_GB2312" w:hAnsi="仿宋_GB2312" w:cs="仿宋_GB2312" w:eastAsia="仿宋_GB2312"/>
                <w:sz w:val="24"/>
                <w:color w:val="000000"/>
              </w:rPr>
              <w:t>Hz，允差±3%；</w:t>
            </w:r>
          </w:p>
          <w:p>
            <w:pPr>
              <w:pStyle w:val="null3"/>
            </w:pPr>
            <w:r>
              <w:rPr>
                <w:rFonts w:ascii="仿宋_GB2312" w:hAnsi="仿宋_GB2312" w:cs="仿宋_GB2312" w:eastAsia="仿宋_GB2312"/>
                <w:sz w:val="24"/>
                <w:color w:val="000000"/>
              </w:rPr>
              <w:t>8.最大磁感应强度</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T；</w:t>
            </w:r>
          </w:p>
          <w:p>
            <w:pPr>
              <w:pStyle w:val="null3"/>
            </w:pPr>
            <w:r>
              <w:rPr>
                <w:rFonts w:ascii="仿宋_GB2312" w:hAnsi="仿宋_GB2312" w:cs="仿宋_GB2312" w:eastAsia="仿宋_GB2312"/>
                <w:sz w:val="24"/>
                <w:color w:val="000000"/>
              </w:rPr>
              <w:t>9.输出脉冲最小频率</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0.01Hz，输出脉冲重复频率</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0.01-1Hz时，可调节步长为0.01Hz</w:t>
            </w:r>
          </w:p>
          <w:p>
            <w:pPr>
              <w:pStyle w:val="null3"/>
            </w:pPr>
            <w:r>
              <w:rPr>
                <w:rFonts w:ascii="仿宋_GB2312" w:hAnsi="仿宋_GB2312" w:cs="仿宋_GB2312" w:eastAsia="仿宋_GB2312"/>
                <w:sz w:val="24"/>
                <w:color w:val="000000"/>
              </w:rPr>
              <w:t>10.可通过软件实时监测线圈温度，温度显示精度：</w:t>
            </w:r>
            <w:r>
              <w:rPr>
                <w:rFonts w:ascii="仿宋_GB2312" w:hAnsi="仿宋_GB2312" w:cs="仿宋_GB2312" w:eastAsia="仿宋_GB2312"/>
                <w:sz w:val="24"/>
                <w:color w:val="000000"/>
              </w:rPr>
              <w:t>±0.5℃</w:t>
            </w:r>
          </w:p>
          <w:p>
            <w:pPr>
              <w:pStyle w:val="null3"/>
            </w:pPr>
            <w:r>
              <w:rPr>
                <w:rFonts w:ascii="仿宋_GB2312" w:hAnsi="仿宋_GB2312" w:cs="仿宋_GB2312" w:eastAsia="仿宋_GB2312"/>
                <w:sz w:val="24"/>
                <w:color w:val="000000"/>
              </w:rPr>
              <w:t>11.刺激线圈表面温度</w:t>
            </w:r>
            <w:r>
              <w:rPr>
                <w:rFonts w:ascii="仿宋_GB2312" w:hAnsi="仿宋_GB2312" w:cs="仿宋_GB2312" w:eastAsia="仿宋_GB2312"/>
                <w:sz w:val="24"/>
                <w:color w:val="000000"/>
              </w:rPr>
              <w:t>≤40℃，刺激线圈温度超过度≥40℃时，磁刺激仪应自动停止输出，确保安全；</w:t>
            </w:r>
          </w:p>
          <w:p>
            <w:pPr>
              <w:pStyle w:val="null3"/>
            </w:pPr>
            <w:r>
              <w:rPr>
                <w:rFonts w:ascii="仿宋_GB2312" w:hAnsi="仿宋_GB2312" w:cs="仿宋_GB2312" w:eastAsia="仿宋_GB2312"/>
                <w:sz w:val="24"/>
                <w:color w:val="000000"/>
              </w:rPr>
              <w:t>12.脉冲上升时间：</w:t>
            </w:r>
            <w:r>
              <w:rPr>
                <w:rFonts w:ascii="仿宋_GB2312" w:hAnsi="仿宋_GB2312" w:cs="仿宋_GB2312" w:eastAsia="仿宋_GB2312"/>
                <w:sz w:val="24"/>
                <w:color w:val="000000"/>
              </w:rPr>
              <w:t>≤50μs ±10μs；</w:t>
            </w:r>
          </w:p>
          <w:p>
            <w:pPr>
              <w:pStyle w:val="null3"/>
            </w:pPr>
            <w:r>
              <w:rPr>
                <w:rFonts w:ascii="仿宋_GB2312" w:hAnsi="仿宋_GB2312" w:cs="仿宋_GB2312" w:eastAsia="仿宋_GB2312"/>
                <w:sz w:val="24"/>
                <w:color w:val="000000"/>
              </w:rPr>
              <w:t>13.</w:t>
            </w:r>
            <w:r>
              <w:rPr>
                <w:rFonts w:ascii="仿宋_GB2312" w:hAnsi="仿宋_GB2312" w:cs="仿宋_GB2312" w:eastAsia="仿宋_GB2312"/>
                <w:sz w:val="20"/>
                <w:color w:val="000000"/>
              </w:rPr>
              <w:t>▲</w:t>
            </w:r>
            <w:r>
              <w:rPr>
                <w:rFonts w:ascii="仿宋_GB2312" w:hAnsi="仿宋_GB2312" w:cs="仿宋_GB2312" w:eastAsia="仿宋_GB2312"/>
                <w:sz w:val="24"/>
                <w:color w:val="000000"/>
              </w:rPr>
              <w:t>磁刺激</w:t>
            </w:r>
            <w:r>
              <w:rPr>
                <w:rFonts w:ascii="仿宋_GB2312" w:hAnsi="仿宋_GB2312" w:cs="仿宋_GB2312" w:eastAsia="仿宋_GB2312"/>
                <w:sz w:val="24"/>
                <w:color w:val="000000"/>
              </w:rPr>
              <w:t>设备配置体外压力反馈模块（提供第三方证明材料）；</w:t>
            </w:r>
          </w:p>
          <w:p>
            <w:pPr>
              <w:pStyle w:val="null3"/>
            </w:pPr>
            <w:r>
              <w:rPr>
                <w:rFonts w:ascii="仿宋_GB2312" w:hAnsi="仿宋_GB2312" w:cs="仿宋_GB2312" w:eastAsia="仿宋_GB2312"/>
                <w:sz w:val="24"/>
                <w:color w:val="000000"/>
              </w:rPr>
              <w:t>14.磁刺激软件具有标准、调频、调幅等多种脉冲输出模式</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种；</w:t>
            </w:r>
          </w:p>
          <w:p>
            <w:pPr>
              <w:pStyle w:val="null3"/>
            </w:pPr>
            <w:r>
              <w:rPr>
                <w:rFonts w:ascii="仿宋_GB2312" w:hAnsi="仿宋_GB2312" w:cs="仿宋_GB2312" w:eastAsia="仿宋_GB2312"/>
                <w:sz w:val="24"/>
                <w:color w:val="000000"/>
              </w:rPr>
              <w:t>15.</w:t>
            </w:r>
            <w:r>
              <w:rPr>
                <w:rFonts w:ascii="仿宋_GB2312" w:hAnsi="仿宋_GB2312" w:cs="仿宋_GB2312" w:eastAsia="仿宋_GB2312"/>
                <w:sz w:val="20"/>
                <w:color w:val="000000"/>
              </w:rPr>
              <w:t>▲</w:t>
            </w:r>
            <w:r>
              <w:rPr>
                <w:rFonts w:ascii="仿宋_GB2312" w:hAnsi="仿宋_GB2312" w:cs="仿宋_GB2312" w:eastAsia="仿宋_GB2312"/>
                <w:sz w:val="24"/>
                <w:color w:val="000000"/>
              </w:rPr>
              <w:t>磁刺激软件控制治疗座椅进行盆底和骶神经双模式一键自动切换</w:t>
            </w:r>
          </w:p>
          <w:p>
            <w:pPr>
              <w:pStyle w:val="null3"/>
            </w:pPr>
            <w:r>
              <w:rPr>
                <w:rFonts w:ascii="仿宋_GB2312" w:hAnsi="仿宋_GB2312" w:cs="仿宋_GB2312" w:eastAsia="仿宋_GB2312"/>
                <w:sz w:val="24"/>
                <w:color w:val="000000"/>
              </w:rPr>
              <w:t>16.</w:t>
            </w:r>
            <w:r>
              <w:rPr>
                <w:rFonts w:ascii="仿宋_GB2312" w:hAnsi="仿宋_GB2312" w:cs="仿宋_GB2312" w:eastAsia="仿宋_GB2312"/>
                <w:sz w:val="20"/>
                <w:color w:val="000000"/>
              </w:rPr>
              <w:t>▲</w:t>
            </w:r>
            <w:r>
              <w:rPr>
                <w:rFonts w:ascii="仿宋_GB2312" w:hAnsi="仿宋_GB2312" w:cs="仿宋_GB2312" w:eastAsia="仿宋_GB2312"/>
                <w:sz w:val="24"/>
                <w:color w:val="000000"/>
              </w:rPr>
              <w:t>磁刺激软件具有实时坐姿监测功能，实时显示坐姿位置图像，错误坐姿时软件自动报警，保证治疗疗效</w:t>
            </w:r>
          </w:p>
          <w:p>
            <w:pPr>
              <w:pStyle w:val="null3"/>
            </w:pPr>
            <w:r>
              <w:rPr>
                <w:rFonts w:ascii="仿宋_GB2312" w:hAnsi="仿宋_GB2312" w:cs="仿宋_GB2312" w:eastAsia="仿宋_GB2312"/>
                <w:sz w:val="24"/>
                <w:color w:val="000000"/>
              </w:rPr>
              <w:t>17.内置治疗方案库，多种临床方案供医生选择，；</w:t>
            </w:r>
          </w:p>
          <w:p>
            <w:pPr>
              <w:pStyle w:val="null3"/>
            </w:pPr>
            <w:r>
              <w:rPr>
                <w:rFonts w:ascii="仿宋_GB2312" w:hAnsi="仿宋_GB2312" w:cs="仿宋_GB2312" w:eastAsia="仿宋_GB2312"/>
                <w:sz w:val="24"/>
                <w:color w:val="000000"/>
              </w:rPr>
              <w:t>18.方案可自定义编辑，频率、刺激时间、间歇时间等参数可调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签订合同后30个日历日内交付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半年后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（一）验收：（1）现场验收：设备及其备附件到达采购人指定地点后，采购人根据合同要求，在成交供应商和采购人双方同时在场的情况下，进行外观验收，确认产地、规格、型号和数量。 （2）安装调试：成交供应商应配合采购人的工期要求，负责在现场对设备进行安装、调试和试运行，直至验收合格。成交供应商应提供全部安装、调试过程中所需的材料、设施设备、人工等。 （3）成交供应商应向采购人提交项目实施过程中的所有资料，以便采购人日后管理和维护。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（1）从验收合格之日起开始计算，整机保修时间≥1年； （2）出具售后服务承诺书，报修后及时修理，不超过24小时；（3）质保期内凡本项目所涉及的产品在正常使用中出现的故障，均由成交供应商负责提供免费检测维修、更换，更换的零部件应保证自更换之日起提供相同的质量保证期； （4）具有完整的售后服务响应体系：1小时内响应，2小时内到达现场，专业的技术服务售后服务人员（提供人员资质证明）；（5）保修期内反复维修仍不能排除故障的，由供货商换货； （6）质量保证期过后，硬件更换仅收取成本费用。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1.供应商在投标时提供投标产品的宣传彩页（企业官方印刷，含产品真实彩色图片）； 2.提供投标产品标识内容（生产厂家、注册证号、型号规格、标准号、产品编号或系列号）； 3.合同总价包括：设备供应价、运杂费（含保险）、安装调试费、培训费、及其它相关费用。 4培训要求：供应商应提供现场技术培训，保证使用人员正确操作设备； 5.交付需提供速查卡、保修卡、验收单、货品清单、合格证、说明书； 6.为顺利推进政府采购电子化交易平台应用工作，供应商需要在线提交所有通过电子化交易平台实施的政府采购项目的响应文件，提交纸质响应文件正本壹份、副本贰份。纸质响应文件正副本分别胶装，标明供应商名称密封递交，递交为时间开标后两个工作日内。若电子响应文件与纸质响应文件不一致的，以电子响应文件为准；若正本和副本不符，以正本为准。线下递交文件地点：西安市雁塔区朱雀大街南段69号长丰园三区5号楼9层。纸质响应文件可邮寄，开标后两个工作日内，以签收时间为准。（联系人：王工；联系电话：029-85578186-831；邮寄地址：西安市雁塔区朱雀大街南段69号长丰园三区5号楼9层。） 温馨提示 各供应商：在此我们特别善意地提醒您注意！ 1.请您仔细地阅读招标文件并正确理解招标文件中各项具体要求。 2.请您严格按照招标文件载明的投标文件格式要求编制投标文件。 3.根据《西安市财政局关于促进政府采购公平竞争优化营商环境的通知》（市财函〔2021) 431 号）规定：供应商若不参与项目投标，应在递交投标文件截止前1个工作日内以书面形式，签字盖章后发送邮箱2133632860@qq.com）告知采购代理机构。否则，采购代理机构可以向财政部门反映情况并提供相应的佐证。供应商一年内出现累计三次该情形，将被监管部门记录为失信行为。本项目要求供应商需在投标文件递交截止之日前提交投标承诺函，确认是否参与该项目投标活动，未按照要求提交投标承诺函参与该项目投标活动的供应商，将作为不良行为记录，被列入企业诚信黑名单。 4.请您按照《陕西省财政厅关于政府采购供应商注册登记有关事项的通知》中的要求，通过陕西省政府采购网（http://www.ccgp-shaanxi.gov.cn/）注册登记加入陕西省政府采购供应商库，并接受财政部门的监督管理。 谨记上述提示，将有助您顺利地参加投标。若有什么需要帮助，请您与我们的工作人员联系，我们将竭诚为您服务。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企业法人具有有效的营业执照（具备统一社会信用代码）；事业法人应具有有效的事业单位法人证；其他组织应具有合法证明文件；自然人应提供有效的自然人身份证明。并进行电子签章。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制造商的需提供《医疗器械生产许可证》及所投产品的《医疗器械注册证》；供应商为代理商的需提供《医疗器械经营许可证》和制造商的《医疗器械生产许可证》及所投产品的《医疗器械注册证》。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法定代表人（负责人）授权委托书身份证明/法定代表人（负责人）授权委托书</w:t>
            </w:r>
          </w:p>
        </w:tc>
        <w:tc>
          <w:tcPr>
            <w:tcW w:type="dxa" w:w="3322"/>
          </w:tcPr>
          <w:p>
            <w:pPr>
              <w:pStyle w:val="null3"/>
            </w:pPr>
            <w:r>
              <w:rPr>
                <w:rFonts w:ascii="仿宋_GB2312" w:hAnsi="仿宋_GB2312" w:cs="仿宋_GB2312" w:eastAsia="仿宋_GB2312"/>
              </w:rPr>
              <w:t>供应商代表应提供法定代表人（负责人）授权委托书（附法定代表人（负责人）及被授权人身份证复印件或扫描件），法定代表人（负责人）直接参加须提供法定代表人（负责人）授权委托书身份证明书及身份证复印件或扫描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成立时间至提交响应文件截止时间不足一年的单位，可提供成立后任意时间段的资产负债表、利润表、现金流量表）或其基本存款账户开户银行出具的本年度资信证明（附开户许可证或基本存款账户信息）。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提供2024年12月1日至投标截止日已缴纳任意一个月纳税证明或完税证明，依法免税的单位应提供相关证明材料；并进行电子签章。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提供2024年12月1日至投标截止日任意一个月的社会保障资金缴存单据或社保机构开具的社会保险参保缴费情况证明，依法不需要缴纳社会保障资金的单位应提供相关证明材料；并进行电子签章。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投标人应具有履行合同所必需的设备和专业技术能力</w:t>
            </w:r>
          </w:p>
        </w:tc>
        <w:tc>
          <w:tcPr>
            <w:tcW w:type="dxa" w:w="3322"/>
          </w:tcPr>
          <w:p>
            <w:pPr>
              <w:pStyle w:val="null3"/>
            </w:pPr>
            <w:r>
              <w:rPr>
                <w:rFonts w:ascii="仿宋_GB2312" w:hAnsi="仿宋_GB2312" w:cs="仿宋_GB2312" w:eastAsia="仿宋_GB2312"/>
              </w:rPr>
              <w:t>提供具备履行合同所必需的设备和专业技术能力的证明材料承诺；并进行电子签章。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信用中国查询</w:t>
            </w:r>
          </w:p>
        </w:tc>
        <w:tc>
          <w:tcPr>
            <w:tcW w:type="dxa" w:w="3322"/>
          </w:tcPr>
          <w:p>
            <w:pPr>
              <w:pStyle w:val="null3"/>
            </w:pPr>
            <w:r>
              <w:rPr>
                <w:rFonts w:ascii="仿宋_GB2312" w:hAnsi="仿宋_GB2312" w:cs="仿宋_GB2312" w:eastAsia="仿宋_GB2312"/>
              </w:rPr>
              <w:t>供应商不得为“信用中国”网站（www.creditchi na.gov.cn）中列入失信被执行人和重大税收违法案件当事人名单的供应商，不得为中国政府采购网（www.ccgp.gov.cn）政府采购严重违法失信行为记录名单中被财政部门禁止参加政府采购活动的供应商；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单位负责人为同一人或者存在直接控股、管理关系的不同单位，不得参加同一合同项下的政府采购活动；并进行电子签章。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本项目专门面向中小企业采购，供应商须为中小企业，并提供声明函；并进行电子签章。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供应商应当加盖投标人（法定名称）电子印章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供应商必须满足招标文件的商务要求</w:t>
            </w:r>
          </w:p>
        </w:tc>
        <w:tc>
          <w:tcPr>
            <w:tcW w:type="dxa" w:w="1661"/>
          </w:tcPr>
          <w:p>
            <w:pPr>
              <w:pStyle w:val="null3"/>
            </w:pPr>
            <w:r>
              <w:rPr>
                <w:rFonts w:ascii="仿宋_GB2312" w:hAnsi="仿宋_GB2312" w:cs="仿宋_GB2312" w:eastAsia="仿宋_GB2312"/>
              </w:rPr>
              <w:t>开标一览表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投标报价是否唯一有效的或投标报价是否超过采购预算</w:t>
            </w:r>
          </w:p>
        </w:tc>
        <w:tc>
          <w:tcPr>
            <w:tcW w:type="dxa" w:w="1661"/>
          </w:tcPr>
          <w:p>
            <w:pPr>
              <w:pStyle w:val="null3"/>
            </w:pPr>
            <w:r>
              <w:rPr>
                <w:rFonts w:ascii="仿宋_GB2312" w:hAnsi="仿宋_GB2312" w:cs="仿宋_GB2312" w:eastAsia="仿宋_GB2312"/>
              </w:rPr>
              <w:t>开标一览表 投标函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1、技术参数按各供应商参数优异程度得分，证明材料完全可以支撑所用设备参数性能的计20-29分。 2、证明材料基本可以支撑设备参数性能的计10-19分。 3、证明材料只能支撑部分设备参数性能的计1-9分。（其中参数每负偏离一项扣1分，扣完为止；） 备注：1、提供证明材料（不限于检验报告、产品彩页、厂商资质、官网功能截图、加盖授权厂家公章的技术参数确认函等），予以证明参数的技术响应性，若有提供虚假参数及材料应标的，经查实将按照有关法律规定进行严肃处理。</w:t>
            </w:r>
          </w:p>
        </w:tc>
        <w:tc>
          <w:tcPr>
            <w:tcW w:type="dxa" w:w="831"/>
          </w:tcPr>
          <w:p>
            <w:pPr>
              <w:pStyle w:val="null3"/>
              <w:jc w:val="right"/>
            </w:pPr>
            <w:r>
              <w:rPr>
                <w:rFonts w:ascii="仿宋_GB2312" w:hAnsi="仿宋_GB2312" w:cs="仿宋_GB2312" w:eastAsia="仿宋_GB2312"/>
              </w:rPr>
              <w:t>29.0000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认定为政府采购节能产品或者政府采购环境标志产品的得1分，最多得2分。（强制要求采购节能产品的除外）注：投标产品属于节能环保政府采购品目清单内产品的，提供国家确定的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所投设备的技术先进性、可靠性、安全性高，稳定性好，功能完善、货物与部件的制造技术、生产工艺达到行业内高水平、高质量标准，得5-7分； 所投设备的在同类中技术成熟度一般，设备安全性、可靠性、稳定性一般，部件的制造技术、工艺等方面一般的，得3-4分； 所投设备在同类中技术先进性、可靠性、安全性、稳定性差，货物及部件的制造技术、生产工艺等方面差的，得1-2分； 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提供产品的测试、安装调试、验收的具体实施方案： 实施方案详细具体，阐述全面的、可操作性强的，得6-9分。 实施方案较详细,阐述一般,可操作性一般的,得3-5分。 实施方案内容不明确，可操作性差的，1-2分。 不提供的，得0分。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合法供货证明</w:t>
            </w:r>
          </w:p>
        </w:tc>
        <w:tc>
          <w:tcPr>
            <w:tcW w:type="dxa" w:w="2492"/>
          </w:tcPr>
          <w:p>
            <w:pPr>
              <w:pStyle w:val="null3"/>
            </w:pPr>
            <w:r>
              <w:rPr>
                <w:rFonts w:ascii="仿宋_GB2312" w:hAnsi="仿宋_GB2312" w:cs="仿宋_GB2312" w:eastAsia="仿宋_GB2312"/>
              </w:rPr>
              <w:t>所投产品设备进货渠道正规，有合法有效的供货协议（不限于销售协议、代理协议、原厂授权等），确保供应的设备无假货、水货、翻新货且无产权纠纷的，资料齐全得5分; 资料有缺失得3分;未提 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供应商提供2022年至今同类的业绩（业绩以完整合同复印件为准）。每提供1份类似业绩合同得1分，不重复计分，满分3分。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（1）提供相关售后服务方案（包括但不限于响应时间承诺、服务保障力度、质保期、维护保养、相关技术支持等）： 方案科学合理，内容全面，详细具体，可行性高的，得4-6分； 方案内容较全面，可行性一般的，得2-4分； 方案内容不明确、可行性差的，得0-2分； （2）提供售后服务质保期每增加一年的，得2分，最高4分。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提供培训方案，包括内容、人员、对象、地点等，保证采购人能够安全、正常、熟练的操作: 培训方案详细具体,内容全面,切实可行的,得3-5分。 培训方案较明确,内容一般,可行一般的,得1-3分。 培训方案不明确,可行性差的,得1分。 不提供的，得0分。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 且投标价格最低的投标报价为评标基准价，其价格分为满分。其他投标人的价格分统一按照下列公式计算：投标报价得分=(评标基准价／投标报价)×30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