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1149E">
      <w:pPr>
        <w:pStyle w:val="3"/>
        <w:keepNext/>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b/>
          <w:bCs/>
          <w:spacing w:val="0"/>
          <w:kern w:val="2"/>
          <w:sz w:val="32"/>
          <w:szCs w:val="32"/>
          <w:highlight w:val="none"/>
          <w:lang w:val="en-US" w:eastAsia="zh-CN" w:bidi="ar-SA"/>
        </w:rPr>
      </w:pPr>
      <w:bookmarkStart w:id="0" w:name="_Toc13077"/>
      <w:bookmarkStart w:id="1" w:name="_Toc2765"/>
      <w:r>
        <w:rPr>
          <w:rFonts w:hint="eastAsia" w:ascii="宋体" w:hAnsi="宋体" w:eastAsia="宋体" w:cs="宋体"/>
          <w:b/>
          <w:bCs/>
          <w:spacing w:val="0"/>
          <w:kern w:val="2"/>
          <w:sz w:val="32"/>
          <w:szCs w:val="32"/>
          <w:highlight w:val="none"/>
          <w:lang w:val="en-US" w:eastAsia="zh-CN" w:bidi="ar-SA"/>
        </w:rPr>
        <w:t>合同主要条款（仅供参考）</w:t>
      </w:r>
      <w:bookmarkEnd w:id="0"/>
      <w:bookmarkEnd w:id="1"/>
    </w:p>
    <w:p w14:paraId="3EB589E4">
      <w:pPr>
        <w:widowControl/>
        <w:tabs>
          <w:tab w:val="left" w:pos="4280"/>
        </w:tabs>
        <w:spacing w:line="360" w:lineRule="auto"/>
        <w:ind w:firstLine="482" w:firstLineChars="200"/>
        <w:jc w:val="center"/>
        <w:rPr>
          <w:rFonts w:hint="eastAsia" w:ascii="宋体" w:hAnsi="宋体" w:eastAsia="宋体" w:cs="宋体"/>
          <w:b/>
          <w:sz w:val="24"/>
          <w:szCs w:val="24"/>
          <w:highlight w:val="none"/>
        </w:rPr>
      </w:pPr>
    </w:p>
    <w:p w14:paraId="4822CCE4">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甲方： </w:t>
      </w:r>
    </w:p>
    <w:p w14:paraId="4E00FD2C">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地址： </w:t>
      </w:r>
    </w:p>
    <w:p w14:paraId="6ADA3A89">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法定代表人（负责人）：</w:t>
      </w:r>
    </w:p>
    <w:p w14:paraId="5D478C0C">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联系人及联系方式：</w:t>
      </w:r>
    </w:p>
    <w:p w14:paraId="5B855404">
      <w:pPr>
        <w:spacing w:line="360" w:lineRule="auto"/>
        <w:rPr>
          <w:rFonts w:hint="eastAsia" w:ascii="宋体" w:hAnsi="宋体" w:eastAsia="宋体" w:cs="宋体"/>
          <w:bCs/>
          <w:sz w:val="24"/>
          <w:szCs w:val="24"/>
          <w:highlight w:val="none"/>
        </w:rPr>
      </w:pPr>
    </w:p>
    <w:p w14:paraId="69E53587">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w:t>
      </w:r>
    </w:p>
    <w:p w14:paraId="286A579C">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住所：</w:t>
      </w:r>
    </w:p>
    <w:p w14:paraId="4EC06DF6">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法定代表人（负责人）：</w:t>
      </w:r>
    </w:p>
    <w:p w14:paraId="50F4171D">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联系人及联系方式： </w:t>
      </w:r>
    </w:p>
    <w:p w14:paraId="3B7C03AC">
      <w:pPr>
        <w:spacing w:line="360" w:lineRule="auto"/>
        <w:ind w:firstLine="480" w:firstLineChars="200"/>
        <w:rPr>
          <w:rFonts w:hint="eastAsia" w:ascii="宋体" w:hAnsi="宋体" w:eastAsia="宋体" w:cs="宋体"/>
          <w:bCs/>
          <w:sz w:val="24"/>
          <w:szCs w:val="24"/>
          <w:highlight w:val="none"/>
        </w:rPr>
      </w:pPr>
    </w:p>
    <w:p w14:paraId="6E4F4D34">
      <w:pPr>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根据《中华人民共和国民法典》等有关法律法规规定，</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(以下简称：“甲方”)通过</w:t>
      </w:r>
      <w:r>
        <w:rPr>
          <w:rFonts w:hint="eastAsia" w:ascii="宋体" w:hAnsi="宋体" w:eastAsia="宋体" w:cs="宋体"/>
          <w:bCs/>
          <w:sz w:val="24"/>
          <w:szCs w:val="24"/>
          <w:highlight w:val="none"/>
          <w:lang w:val="en-US" w:eastAsia="zh-CN"/>
        </w:rPr>
        <w:t>招标</w:t>
      </w:r>
      <w:r>
        <w:rPr>
          <w:rFonts w:hint="eastAsia" w:ascii="宋体" w:hAnsi="宋体" w:eastAsia="宋体" w:cs="宋体"/>
          <w:bCs/>
          <w:sz w:val="24"/>
          <w:szCs w:val="24"/>
          <w:highlight w:val="none"/>
        </w:rPr>
        <w:t>确定</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(以下简称：“乙方”)为</w:t>
      </w:r>
      <w:r>
        <w:rPr>
          <w:rFonts w:hint="eastAsia" w:ascii="宋体" w:hAnsi="宋体" w:eastAsia="宋体" w:cs="宋体"/>
          <w:bCs/>
          <w:sz w:val="24"/>
          <w:szCs w:val="24"/>
          <w:highlight w:val="none"/>
          <w:lang w:eastAsia="zh-CN"/>
        </w:rPr>
        <w:t>信息管理系统功能提升及延展扩充项目</w:t>
      </w:r>
      <w:r>
        <w:rPr>
          <w:rFonts w:hint="eastAsia" w:ascii="宋体" w:hAnsi="宋体" w:eastAsia="宋体" w:cs="宋体"/>
          <w:bCs/>
          <w:sz w:val="24"/>
          <w:szCs w:val="24"/>
          <w:highlight w:val="none"/>
        </w:rPr>
        <w:t>”的成交供应商，</w:t>
      </w:r>
      <w:r>
        <w:rPr>
          <w:rFonts w:hint="eastAsia" w:ascii="宋体" w:hAnsi="宋体" w:eastAsia="宋体" w:cs="宋体"/>
          <w:bCs/>
          <w:sz w:val="24"/>
          <w:szCs w:val="24"/>
          <w:highlight w:val="none"/>
          <w:lang w:val="en-US" w:eastAsia="zh-CN"/>
        </w:rPr>
        <w:t>双方</w:t>
      </w:r>
      <w:r>
        <w:rPr>
          <w:rFonts w:hint="eastAsia" w:ascii="宋体" w:hAnsi="宋体" w:eastAsia="宋体" w:cs="宋体"/>
          <w:bCs/>
          <w:sz w:val="24"/>
          <w:szCs w:val="24"/>
          <w:highlight w:val="none"/>
        </w:rPr>
        <w:t>本着平等互利、协商一致的原则，经友好协商同意签署</w:t>
      </w:r>
      <w:r>
        <w:rPr>
          <w:rFonts w:hint="eastAsia" w:ascii="宋体" w:hAnsi="宋体" w:cs="宋体"/>
          <w:bCs/>
          <w:sz w:val="24"/>
          <w:szCs w:val="24"/>
          <w:highlight w:val="none"/>
          <w:u w:val="single"/>
          <w:lang w:val="en-US" w:eastAsia="zh-CN"/>
        </w:rPr>
        <w:t>基于电子病历四级信息化建设项目</w:t>
      </w:r>
      <w:r>
        <w:rPr>
          <w:rFonts w:hint="eastAsia" w:ascii="宋体" w:hAnsi="宋体" w:eastAsia="宋体" w:cs="宋体"/>
          <w:bCs/>
          <w:sz w:val="24"/>
          <w:szCs w:val="24"/>
          <w:highlight w:val="none"/>
        </w:rPr>
        <w:t>合同。</w:t>
      </w:r>
    </w:p>
    <w:p w14:paraId="27E37D24">
      <w:pPr>
        <w:numPr>
          <w:ilvl w:val="0"/>
          <w:numId w:val="2"/>
        </w:numPr>
        <w:spacing w:line="360" w:lineRule="auto"/>
        <w:ind w:firstLine="0"/>
        <w:rPr>
          <w:rFonts w:hint="eastAsia" w:ascii="宋体" w:hAnsi="宋体" w:eastAsia="宋体" w:cs="宋体"/>
          <w:b/>
          <w:sz w:val="24"/>
          <w:szCs w:val="24"/>
          <w:highlight w:val="none"/>
        </w:rPr>
      </w:pPr>
      <w:r>
        <w:rPr>
          <w:rFonts w:hint="eastAsia" w:ascii="宋体" w:hAnsi="宋体" w:eastAsia="宋体" w:cs="宋体"/>
          <w:b/>
          <w:sz w:val="24"/>
          <w:szCs w:val="24"/>
          <w:highlight w:val="none"/>
        </w:rPr>
        <w:t>项目名称：基于电子病历四级信息化建设项目</w:t>
      </w:r>
    </w:p>
    <w:p w14:paraId="13720D4B">
      <w:pPr>
        <w:numPr>
          <w:ilvl w:val="0"/>
          <w:numId w:val="2"/>
        </w:numPr>
        <w:spacing w:line="360" w:lineRule="auto"/>
        <w:ind w:firstLine="0"/>
        <w:rPr>
          <w:rFonts w:hint="eastAsia" w:ascii="宋体" w:hAnsi="宋体" w:eastAsia="宋体" w:cs="宋体"/>
          <w:b/>
          <w:sz w:val="24"/>
          <w:szCs w:val="24"/>
          <w:highlight w:val="none"/>
        </w:rPr>
      </w:pPr>
      <w:r>
        <w:rPr>
          <w:rFonts w:hint="eastAsia" w:ascii="宋体" w:hAnsi="宋体" w:eastAsia="宋体" w:cs="宋体"/>
          <w:b/>
          <w:sz w:val="24"/>
          <w:szCs w:val="24"/>
          <w:highlight w:val="none"/>
        </w:rPr>
        <w:t>合同内容和分项报价：</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此表可根据需要扩充</w:t>
      </w:r>
      <w:r>
        <w:rPr>
          <w:rFonts w:hint="eastAsia" w:ascii="宋体" w:hAnsi="宋体" w:eastAsia="宋体" w:cs="宋体"/>
          <w:b/>
          <w:sz w:val="24"/>
          <w:szCs w:val="24"/>
          <w:highlight w:val="none"/>
          <w:lang w:eastAsia="zh-CN"/>
        </w:rPr>
        <w:t>）</w:t>
      </w:r>
    </w:p>
    <w:tbl>
      <w:tblPr>
        <w:tblStyle w:val="6"/>
        <w:tblW w:w="8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1828"/>
        <w:gridCol w:w="1550"/>
        <w:gridCol w:w="1130"/>
        <w:gridCol w:w="1732"/>
        <w:gridCol w:w="1734"/>
      </w:tblGrid>
      <w:tr w14:paraId="10F09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271" w:type="pct"/>
            <w:noWrap w:val="0"/>
            <w:vAlign w:val="center"/>
          </w:tcPr>
          <w:p w14:paraId="403692F6">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序号</w:t>
            </w:r>
          </w:p>
        </w:tc>
        <w:tc>
          <w:tcPr>
            <w:tcW w:w="1084" w:type="pct"/>
            <w:noWrap w:val="0"/>
            <w:vAlign w:val="center"/>
          </w:tcPr>
          <w:p w14:paraId="3A017CDB">
            <w:pPr>
              <w:spacing w:line="360" w:lineRule="auto"/>
              <w:jc w:val="center"/>
              <w:rPr>
                <w:rFonts w:hint="eastAsia" w:ascii="宋体" w:hAnsi="宋体" w:eastAsia="宋体" w:cs="宋体"/>
                <w:b/>
                <w:color w:val="000000"/>
                <w:sz w:val="24"/>
                <w:szCs w:val="24"/>
                <w:highlight w:val="none"/>
                <w:lang w:val="en-US" w:eastAsia="zh-CN"/>
              </w:rPr>
            </w:pPr>
            <w:r>
              <w:rPr>
                <w:rFonts w:hint="eastAsia" w:ascii="宋体" w:hAnsi="宋体" w:eastAsia="宋体" w:cs="宋体"/>
                <w:b/>
                <w:color w:val="000000"/>
                <w:sz w:val="24"/>
                <w:szCs w:val="24"/>
                <w:highlight w:val="none"/>
                <w:lang w:val="en-US" w:eastAsia="zh-CN"/>
              </w:rPr>
              <w:t>建设清单</w:t>
            </w:r>
          </w:p>
        </w:tc>
        <w:tc>
          <w:tcPr>
            <w:tcW w:w="919" w:type="pct"/>
            <w:noWrap w:val="0"/>
            <w:vAlign w:val="center"/>
          </w:tcPr>
          <w:p w14:paraId="2D6757A0">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单价（元）</w:t>
            </w:r>
          </w:p>
        </w:tc>
        <w:tc>
          <w:tcPr>
            <w:tcW w:w="670" w:type="pct"/>
            <w:noWrap w:val="0"/>
            <w:vAlign w:val="center"/>
          </w:tcPr>
          <w:p w14:paraId="06D6A5E7">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数量</w:t>
            </w:r>
          </w:p>
        </w:tc>
        <w:tc>
          <w:tcPr>
            <w:tcW w:w="1027" w:type="pct"/>
            <w:noWrap w:val="0"/>
            <w:vAlign w:val="center"/>
          </w:tcPr>
          <w:p w14:paraId="01E52A08">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单位</w:t>
            </w:r>
          </w:p>
        </w:tc>
        <w:tc>
          <w:tcPr>
            <w:tcW w:w="1027" w:type="pct"/>
            <w:noWrap w:val="0"/>
            <w:vAlign w:val="center"/>
          </w:tcPr>
          <w:p w14:paraId="5D3C55E2">
            <w:pPr>
              <w:spacing w:line="360" w:lineRule="auto"/>
              <w:jc w:val="center"/>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报价（元）</w:t>
            </w:r>
          </w:p>
        </w:tc>
      </w:tr>
      <w:tr w14:paraId="67E4A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71" w:type="pct"/>
            <w:noWrap w:val="0"/>
            <w:vAlign w:val="center"/>
          </w:tcPr>
          <w:p w14:paraId="76B921B6">
            <w:pPr>
              <w:numPr>
                <w:ilvl w:val="0"/>
                <w:numId w:val="3"/>
              </w:numPr>
              <w:spacing w:line="360" w:lineRule="auto"/>
              <w:ind w:left="0" w:firstLine="0"/>
              <w:jc w:val="center"/>
              <w:rPr>
                <w:rFonts w:hint="eastAsia" w:ascii="宋体" w:hAnsi="宋体" w:eastAsia="宋体" w:cs="宋体"/>
                <w:b w:val="0"/>
                <w:bCs/>
                <w:kern w:val="2"/>
                <w:sz w:val="24"/>
                <w:szCs w:val="24"/>
                <w:highlight w:val="none"/>
                <w:lang w:val="en-US" w:eastAsia="zh-CN" w:bidi="ar-SA"/>
              </w:rPr>
            </w:pPr>
          </w:p>
        </w:tc>
        <w:tc>
          <w:tcPr>
            <w:tcW w:w="1828" w:type="dxa"/>
            <w:noWrap w:val="0"/>
            <w:vAlign w:val="center"/>
          </w:tcPr>
          <w:p w14:paraId="6FD14B6E">
            <w:pPr>
              <w:pStyle w:val="2"/>
              <w:jc w:val="center"/>
              <w:rPr>
                <w:rFonts w:hint="eastAsia" w:ascii="宋体" w:hAnsi="宋体" w:eastAsia="宋体" w:cs="宋体"/>
                <w:b w:val="0"/>
                <w:bCs/>
                <w:kern w:val="2"/>
                <w:sz w:val="24"/>
                <w:szCs w:val="24"/>
                <w:highlight w:val="none"/>
                <w:lang w:val="en-US" w:eastAsia="zh-CN" w:bidi="ar-SA"/>
              </w:rPr>
            </w:pPr>
          </w:p>
        </w:tc>
        <w:tc>
          <w:tcPr>
            <w:tcW w:w="919" w:type="pct"/>
            <w:noWrap w:val="0"/>
            <w:vAlign w:val="center"/>
          </w:tcPr>
          <w:p w14:paraId="1B078BDB">
            <w:pPr>
              <w:spacing w:line="360" w:lineRule="auto"/>
              <w:jc w:val="center"/>
              <w:rPr>
                <w:rFonts w:hint="eastAsia" w:ascii="宋体" w:hAnsi="宋体" w:eastAsia="宋体" w:cs="宋体"/>
                <w:b w:val="0"/>
                <w:bCs/>
                <w:kern w:val="2"/>
                <w:sz w:val="24"/>
                <w:szCs w:val="24"/>
                <w:highlight w:val="none"/>
                <w:lang w:val="en-US" w:eastAsia="zh-CN" w:bidi="ar-SA"/>
              </w:rPr>
            </w:pPr>
          </w:p>
        </w:tc>
        <w:tc>
          <w:tcPr>
            <w:tcW w:w="1130" w:type="dxa"/>
            <w:noWrap w:val="0"/>
            <w:vAlign w:val="center"/>
          </w:tcPr>
          <w:p w14:paraId="3955CB22">
            <w:pPr>
              <w:pStyle w:val="2"/>
              <w:jc w:val="center"/>
              <w:rPr>
                <w:rFonts w:hint="eastAsia" w:ascii="宋体" w:hAnsi="宋体" w:eastAsia="宋体" w:cs="宋体"/>
                <w:b w:val="0"/>
                <w:bCs/>
                <w:kern w:val="2"/>
                <w:sz w:val="24"/>
                <w:szCs w:val="24"/>
                <w:highlight w:val="none"/>
                <w:lang w:val="en-US" w:eastAsia="zh-CN" w:bidi="ar-SA"/>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w:t>
            </w:r>
          </w:p>
        </w:tc>
        <w:tc>
          <w:tcPr>
            <w:tcW w:w="1027" w:type="pct"/>
            <w:noWrap w:val="0"/>
            <w:vAlign w:val="top"/>
          </w:tcPr>
          <w:p w14:paraId="2CDFA22E">
            <w:pPr>
              <w:spacing w:line="360" w:lineRule="auto"/>
              <w:rPr>
                <w:rFonts w:hint="eastAsia" w:ascii="宋体" w:hAnsi="宋体" w:eastAsia="宋体" w:cs="宋体"/>
                <w:b w:val="0"/>
                <w:bCs/>
                <w:kern w:val="2"/>
                <w:sz w:val="24"/>
                <w:szCs w:val="24"/>
                <w:highlight w:val="none"/>
                <w:lang w:val="en-US" w:eastAsia="zh-CN" w:bidi="ar-SA"/>
              </w:rPr>
            </w:pPr>
          </w:p>
        </w:tc>
        <w:tc>
          <w:tcPr>
            <w:tcW w:w="1027" w:type="pct"/>
            <w:noWrap w:val="0"/>
            <w:vAlign w:val="top"/>
          </w:tcPr>
          <w:p w14:paraId="1A1D664C">
            <w:pPr>
              <w:spacing w:line="360" w:lineRule="auto"/>
              <w:rPr>
                <w:rFonts w:hint="eastAsia" w:ascii="宋体" w:hAnsi="宋体" w:eastAsia="宋体" w:cs="宋体"/>
                <w:b w:val="0"/>
                <w:bCs/>
                <w:color w:val="000000"/>
                <w:sz w:val="24"/>
                <w:szCs w:val="24"/>
                <w:highlight w:val="none"/>
              </w:rPr>
            </w:pPr>
          </w:p>
        </w:tc>
      </w:tr>
      <w:tr w14:paraId="3261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4" w:hRule="atLeast"/>
        </w:trPr>
        <w:tc>
          <w:tcPr>
            <w:tcW w:w="271" w:type="pct"/>
            <w:noWrap w:val="0"/>
            <w:vAlign w:val="center"/>
          </w:tcPr>
          <w:p w14:paraId="77F47ABB">
            <w:pPr>
              <w:numPr>
                <w:ilvl w:val="0"/>
                <w:numId w:val="3"/>
              </w:numPr>
              <w:spacing w:line="360" w:lineRule="auto"/>
              <w:ind w:left="0" w:firstLine="0"/>
              <w:jc w:val="center"/>
              <w:rPr>
                <w:rFonts w:hint="eastAsia" w:ascii="宋体" w:hAnsi="宋体" w:eastAsia="宋体" w:cs="宋体"/>
                <w:b w:val="0"/>
                <w:bCs/>
                <w:kern w:val="2"/>
                <w:sz w:val="24"/>
                <w:szCs w:val="24"/>
                <w:highlight w:val="none"/>
                <w:lang w:val="en-US" w:eastAsia="zh-CN" w:bidi="ar-SA"/>
              </w:rPr>
            </w:pPr>
          </w:p>
        </w:tc>
        <w:tc>
          <w:tcPr>
            <w:tcW w:w="1828" w:type="dxa"/>
            <w:noWrap w:val="0"/>
            <w:vAlign w:val="center"/>
          </w:tcPr>
          <w:p w14:paraId="291DBE8B">
            <w:pPr>
              <w:pStyle w:val="2"/>
              <w:jc w:val="center"/>
              <w:rPr>
                <w:rFonts w:hint="eastAsia" w:ascii="宋体" w:hAnsi="宋体" w:eastAsia="宋体" w:cs="宋体"/>
                <w:b w:val="0"/>
                <w:bCs/>
                <w:kern w:val="2"/>
                <w:sz w:val="24"/>
                <w:szCs w:val="24"/>
                <w:highlight w:val="none"/>
                <w:lang w:val="en-US" w:eastAsia="zh-CN" w:bidi="ar-SA"/>
              </w:rPr>
            </w:pPr>
          </w:p>
        </w:tc>
        <w:tc>
          <w:tcPr>
            <w:tcW w:w="919" w:type="pct"/>
            <w:noWrap w:val="0"/>
            <w:vAlign w:val="center"/>
          </w:tcPr>
          <w:p w14:paraId="1CE81687">
            <w:pPr>
              <w:spacing w:line="360" w:lineRule="auto"/>
              <w:jc w:val="center"/>
              <w:rPr>
                <w:rFonts w:hint="eastAsia" w:ascii="宋体" w:hAnsi="宋体" w:eastAsia="宋体" w:cs="宋体"/>
                <w:b w:val="0"/>
                <w:bCs/>
                <w:kern w:val="2"/>
                <w:sz w:val="24"/>
                <w:szCs w:val="24"/>
                <w:highlight w:val="none"/>
                <w:lang w:val="en-US" w:eastAsia="zh-CN" w:bidi="ar-SA"/>
              </w:rPr>
            </w:pPr>
          </w:p>
        </w:tc>
        <w:tc>
          <w:tcPr>
            <w:tcW w:w="1130" w:type="dxa"/>
            <w:noWrap w:val="0"/>
            <w:vAlign w:val="center"/>
          </w:tcPr>
          <w:p w14:paraId="7027F93B">
            <w:pPr>
              <w:pStyle w:val="2"/>
              <w:jc w:val="center"/>
              <w:rPr>
                <w:rFonts w:hint="eastAsia" w:ascii="宋体" w:hAnsi="宋体" w:eastAsia="宋体" w:cs="宋体"/>
                <w:b w:val="0"/>
                <w:bCs/>
                <w:kern w:val="2"/>
                <w:sz w:val="24"/>
                <w:szCs w:val="24"/>
                <w:highlight w:val="none"/>
                <w:lang w:val="en-US" w:eastAsia="zh-CN" w:bidi="ar-SA"/>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w:t>
            </w:r>
          </w:p>
        </w:tc>
        <w:tc>
          <w:tcPr>
            <w:tcW w:w="1027" w:type="pct"/>
            <w:noWrap w:val="0"/>
            <w:vAlign w:val="top"/>
          </w:tcPr>
          <w:p w14:paraId="2C3B699C">
            <w:pPr>
              <w:spacing w:line="360" w:lineRule="auto"/>
              <w:rPr>
                <w:rFonts w:hint="eastAsia" w:ascii="宋体" w:hAnsi="宋体" w:eastAsia="宋体" w:cs="宋体"/>
                <w:b w:val="0"/>
                <w:bCs/>
                <w:kern w:val="2"/>
                <w:sz w:val="24"/>
                <w:szCs w:val="24"/>
                <w:highlight w:val="none"/>
                <w:lang w:val="en-US" w:eastAsia="zh-CN" w:bidi="ar-SA"/>
              </w:rPr>
            </w:pPr>
          </w:p>
        </w:tc>
        <w:tc>
          <w:tcPr>
            <w:tcW w:w="1027" w:type="pct"/>
            <w:noWrap w:val="0"/>
            <w:vAlign w:val="top"/>
          </w:tcPr>
          <w:p w14:paraId="62FC50AC">
            <w:pPr>
              <w:spacing w:line="360" w:lineRule="auto"/>
              <w:rPr>
                <w:rFonts w:hint="eastAsia" w:ascii="宋体" w:hAnsi="宋体" w:eastAsia="宋体" w:cs="宋体"/>
                <w:b w:val="0"/>
                <w:bCs/>
                <w:color w:val="000000"/>
                <w:sz w:val="24"/>
                <w:szCs w:val="24"/>
                <w:highlight w:val="none"/>
              </w:rPr>
            </w:pPr>
          </w:p>
        </w:tc>
      </w:tr>
      <w:tr w14:paraId="00547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71" w:type="pct"/>
            <w:noWrap w:val="0"/>
            <w:vAlign w:val="center"/>
          </w:tcPr>
          <w:p w14:paraId="3FF78235">
            <w:pPr>
              <w:numPr>
                <w:ilvl w:val="0"/>
                <w:numId w:val="3"/>
              </w:numPr>
              <w:spacing w:line="360" w:lineRule="auto"/>
              <w:ind w:left="0" w:firstLine="0"/>
              <w:jc w:val="center"/>
              <w:rPr>
                <w:rFonts w:hint="eastAsia" w:ascii="宋体" w:hAnsi="宋体" w:eastAsia="宋体" w:cs="宋体"/>
                <w:b w:val="0"/>
                <w:bCs/>
                <w:kern w:val="2"/>
                <w:sz w:val="24"/>
                <w:szCs w:val="24"/>
                <w:highlight w:val="none"/>
                <w:lang w:val="en-US" w:eastAsia="zh-CN" w:bidi="ar-SA"/>
              </w:rPr>
            </w:pPr>
            <w:bookmarkStart w:id="2" w:name="_GoBack" w:colFirst="3" w:colLast="3"/>
          </w:p>
        </w:tc>
        <w:tc>
          <w:tcPr>
            <w:tcW w:w="1828" w:type="dxa"/>
            <w:noWrap w:val="0"/>
            <w:vAlign w:val="center"/>
          </w:tcPr>
          <w:p w14:paraId="2C4DB27B">
            <w:pPr>
              <w:pStyle w:val="2"/>
              <w:jc w:val="center"/>
              <w:rPr>
                <w:rFonts w:hint="eastAsia" w:ascii="宋体" w:hAnsi="宋体" w:eastAsia="宋体" w:cs="宋体"/>
                <w:b w:val="0"/>
                <w:bCs/>
                <w:kern w:val="2"/>
                <w:sz w:val="24"/>
                <w:szCs w:val="24"/>
                <w:highlight w:val="none"/>
                <w:lang w:val="en-US" w:eastAsia="zh-CN" w:bidi="ar-SA"/>
              </w:rPr>
            </w:pPr>
          </w:p>
        </w:tc>
        <w:tc>
          <w:tcPr>
            <w:tcW w:w="919" w:type="pct"/>
            <w:noWrap w:val="0"/>
            <w:vAlign w:val="center"/>
          </w:tcPr>
          <w:p w14:paraId="28D1839D">
            <w:pPr>
              <w:spacing w:line="360" w:lineRule="auto"/>
              <w:jc w:val="center"/>
              <w:rPr>
                <w:rFonts w:hint="eastAsia" w:ascii="宋体" w:hAnsi="宋体" w:eastAsia="宋体" w:cs="宋体"/>
                <w:b w:val="0"/>
                <w:bCs/>
                <w:kern w:val="2"/>
                <w:sz w:val="24"/>
                <w:szCs w:val="24"/>
                <w:highlight w:val="none"/>
                <w:lang w:val="en-US" w:eastAsia="zh-CN" w:bidi="ar-SA"/>
              </w:rPr>
            </w:pPr>
          </w:p>
        </w:tc>
        <w:tc>
          <w:tcPr>
            <w:tcW w:w="1130" w:type="dxa"/>
            <w:noWrap w:val="0"/>
            <w:vAlign w:val="center"/>
          </w:tcPr>
          <w:p w14:paraId="70DFC4D0">
            <w:pPr>
              <w:jc w:val="center"/>
              <w:rPr>
                <w:rFonts w:hint="eastAsia" w:ascii="宋体" w:hAnsi="宋体" w:eastAsia="宋体" w:cs="宋体"/>
                <w:b w:val="0"/>
                <w:bCs/>
                <w:kern w:val="2"/>
                <w:sz w:val="24"/>
                <w:szCs w:val="24"/>
                <w:highlight w:val="none"/>
                <w:lang w:val="en-US" w:eastAsia="zh-CN" w:bidi="ar-SA"/>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w:t>
            </w:r>
          </w:p>
        </w:tc>
        <w:tc>
          <w:tcPr>
            <w:tcW w:w="1027" w:type="pct"/>
            <w:noWrap w:val="0"/>
            <w:vAlign w:val="top"/>
          </w:tcPr>
          <w:p w14:paraId="592CEDA8">
            <w:pPr>
              <w:spacing w:line="360" w:lineRule="auto"/>
              <w:rPr>
                <w:rFonts w:hint="eastAsia" w:ascii="宋体" w:hAnsi="宋体" w:eastAsia="宋体" w:cs="宋体"/>
                <w:b w:val="0"/>
                <w:bCs/>
                <w:kern w:val="2"/>
                <w:sz w:val="24"/>
                <w:szCs w:val="24"/>
                <w:highlight w:val="none"/>
                <w:lang w:val="en-US" w:eastAsia="zh-CN" w:bidi="ar-SA"/>
              </w:rPr>
            </w:pPr>
          </w:p>
        </w:tc>
        <w:tc>
          <w:tcPr>
            <w:tcW w:w="1027" w:type="pct"/>
            <w:noWrap w:val="0"/>
            <w:vAlign w:val="top"/>
          </w:tcPr>
          <w:p w14:paraId="0C6A3DA0">
            <w:pPr>
              <w:spacing w:line="360" w:lineRule="auto"/>
              <w:rPr>
                <w:rFonts w:hint="eastAsia" w:ascii="宋体" w:hAnsi="宋体" w:eastAsia="宋体" w:cs="宋体"/>
                <w:b w:val="0"/>
                <w:bCs/>
                <w:color w:val="000000"/>
                <w:sz w:val="24"/>
                <w:szCs w:val="24"/>
                <w:highlight w:val="none"/>
              </w:rPr>
            </w:pPr>
          </w:p>
        </w:tc>
      </w:tr>
      <w:tr w14:paraId="3123C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71" w:type="pct"/>
            <w:noWrap w:val="0"/>
            <w:vAlign w:val="center"/>
          </w:tcPr>
          <w:p w14:paraId="283B2088">
            <w:pPr>
              <w:numPr>
                <w:ilvl w:val="0"/>
                <w:numId w:val="3"/>
              </w:numPr>
              <w:spacing w:line="360" w:lineRule="auto"/>
              <w:ind w:left="0" w:firstLine="0"/>
              <w:jc w:val="center"/>
              <w:rPr>
                <w:rFonts w:hint="eastAsia" w:ascii="宋体" w:hAnsi="宋体" w:eastAsia="宋体" w:cs="宋体"/>
                <w:b w:val="0"/>
                <w:bCs/>
                <w:kern w:val="2"/>
                <w:sz w:val="24"/>
                <w:szCs w:val="24"/>
                <w:highlight w:val="none"/>
                <w:lang w:val="en-US" w:eastAsia="zh-CN" w:bidi="ar-SA"/>
              </w:rPr>
            </w:pPr>
          </w:p>
        </w:tc>
        <w:tc>
          <w:tcPr>
            <w:tcW w:w="1828" w:type="dxa"/>
            <w:noWrap w:val="0"/>
            <w:vAlign w:val="center"/>
          </w:tcPr>
          <w:p w14:paraId="095FE834">
            <w:pPr>
              <w:pStyle w:val="2"/>
              <w:jc w:val="center"/>
              <w:rPr>
                <w:rFonts w:hint="eastAsia" w:ascii="宋体" w:hAnsi="宋体" w:eastAsia="宋体" w:cs="宋体"/>
                <w:b w:val="0"/>
                <w:bCs/>
                <w:kern w:val="2"/>
                <w:sz w:val="24"/>
                <w:szCs w:val="24"/>
                <w:highlight w:val="none"/>
                <w:lang w:val="en-US" w:eastAsia="zh-CN" w:bidi="ar-SA"/>
              </w:rPr>
            </w:pPr>
          </w:p>
        </w:tc>
        <w:tc>
          <w:tcPr>
            <w:tcW w:w="919" w:type="pct"/>
            <w:noWrap w:val="0"/>
            <w:vAlign w:val="center"/>
          </w:tcPr>
          <w:p w14:paraId="706E1628">
            <w:pPr>
              <w:spacing w:line="360" w:lineRule="auto"/>
              <w:jc w:val="center"/>
              <w:rPr>
                <w:rFonts w:hint="eastAsia" w:ascii="宋体" w:hAnsi="宋体" w:eastAsia="宋体" w:cs="宋体"/>
                <w:b w:val="0"/>
                <w:bCs/>
                <w:kern w:val="2"/>
                <w:sz w:val="24"/>
                <w:szCs w:val="24"/>
                <w:highlight w:val="none"/>
                <w:lang w:val="en-US" w:eastAsia="zh-CN" w:bidi="ar-SA"/>
              </w:rPr>
            </w:pPr>
          </w:p>
        </w:tc>
        <w:tc>
          <w:tcPr>
            <w:tcW w:w="1130" w:type="dxa"/>
            <w:noWrap w:val="0"/>
            <w:vAlign w:val="center"/>
          </w:tcPr>
          <w:p w14:paraId="2306FAE8">
            <w:pPr>
              <w:jc w:val="center"/>
              <w:rPr>
                <w:rFonts w:hint="eastAsia" w:ascii="宋体" w:hAnsi="宋体" w:eastAsia="宋体" w:cs="宋体"/>
                <w:b w:val="0"/>
                <w:bCs/>
                <w:kern w:val="2"/>
                <w:sz w:val="24"/>
                <w:szCs w:val="24"/>
                <w:highlight w:val="none"/>
                <w:lang w:val="en-US" w:eastAsia="zh-CN" w:bidi="ar-SA"/>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w:t>
            </w:r>
          </w:p>
        </w:tc>
        <w:tc>
          <w:tcPr>
            <w:tcW w:w="1027" w:type="pct"/>
            <w:noWrap w:val="0"/>
            <w:vAlign w:val="top"/>
          </w:tcPr>
          <w:p w14:paraId="1B5D98CE">
            <w:pPr>
              <w:spacing w:line="360" w:lineRule="auto"/>
              <w:rPr>
                <w:rFonts w:hint="eastAsia" w:ascii="宋体" w:hAnsi="宋体" w:eastAsia="宋体" w:cs="宋体"/>
                <w:b w:val="0"/>
                <w:bCs/>
                <w:kern w:val="2"/>
                <w:sz w:val="24"/>
                <w:szCs w:val="24"/>
                <w:highlight w:val="none"/>
                <w:lang w:val="en-US" w:eastAsia="zh-CN" w:bidi="ar-SA"/>
              </w:rPr>
            </w:pPr>
          </w:p>
        </w:tc>
        <w:tc>
          <w:tcPr>
            <w:tcW w:w="1027" w:type="pct"/>
            <w:noWrap w:val="0"/>
            <w:vAlign w:val="top"/>
          </w:tcPr>
          <w:p w14:paraId="33E4FCB1">
            <w:pPr>
              <w:spacing w:line="360" w:lineRule="auto"/>
              <w:rPr>
                <w:rFonts w:hint="eastAsia" w:ascii="宋体" w:hAnsi="宋体" w:eastAsia="宋体" w:cs="宋体"/>
                <w:b w:val="0"/>
                <w:bCs/>
                <w:color w:val="000000"/>
                <w:sz w:val="24"/>
                <w:szCs w:val="24"/>
                <w:highlight w:val="none"/>
              </w:rPr>
            </w:pPr>
          </w:p>
        </w:tc>
      </w:tr>
      <w:tr w14:paraId="0EB8A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71" w:type="pct"/>
            <w:noWrap w:val="0"/>
            <w:vAlign w:val="center"/>
          </w:tcPr>
          <w:p w14:paraId="43313982">
            <w:pPr>
              <w:numPr>
                <w:ilvl w:val="0"/>
                <w:numId w:val="3"/>
              </w:numPr>
              <w:spacing w:line="360" w:lineRule="auto"/>
              <w:ind w:left="0" w:firstLine="0"/>
              <w:jc w:val="center"/>
              <w:rPr>
                <w:rFonts w:hint="eastAsia" w:ascii="宋体" w:hAnsi="宋体" w:eastAsia="宋体" w:cs="宋体"/>
                <w:b w:val="0"/>
                <w:bCs/>
                <w:kern w:val="2"/>
                <w:sz w:val="24"/>
                <w:szCs w:val="24"/>
                <w:highlight w:val="none"/>
                <w:lang w:val="en-US" w:eastAsia="zh-CN" w:bidi="ar-SA"/>
              </w:rPr>
            </w:pPr>
          </w:p>
        </w:tc>
        <w:tc>
          <w:tcPr>
            <w:tcW w:w="1828" w:type="dxa"/>
            <w:noWrap w:val="0"/>
            <w:vAlign w:val="center"/>
          </w:tcPr>
          <w:p w14:paraId="58E9C5A7">
            <w:pPr>
              <w:pStyle w:val="2"/>
              <w:jc w:val="center"/>
              <w:rPr>
                <w:rFonts w:hint="eastAsia" w:ascii="宋体" w:hAnsi="宋体" w:eastAsia="宋体" w:cs="宋体"/>
                <w:b w:val="0"/>
                <w:bCs/>
                <w:szCs w:val="24"/>
                <w:highlight w:val="none"/>
              </w:rPr>
            </w:pPr>
          </w:p>
        </w:tc>
        <w:tc>
          <w:tcPr>
            <w:tcW w:w="919" w:type="pct"/>
            <w:noWrap w:val="0"/>
            <w:vAlign w:val="center"/>
          </w:tcPr>
          <w:p w14:paraId="2403B927">
            <w:pPr>
              <w:spacing w:line="360" w:lineRule="auto"/>
              <w:jc w:val="center"/>
              <w:rPr>
                <w:rFonts w:hint="eastAsia" w:ascii="宋体" w:hAnsi="宋体" w:eastAsia="宋体" w:cs="宋体"/>
                <w:b w:val="0"/>
                <w:bCs/>
                <w:kern w:val="2"/>
                <w:sz w:val="24"/>
                <w:szCs w:val="24"/>
                <w:highlight w:val="none"/>
                <w:lang w:val="en-US" w:eastAsia="zh-CN" w:bidi="ar-SA"/>
              </w:rPr>
            </w:pPr>
          </w:p>
        </w:tc>
        <w:tc>
          <w:tcPr>
            <w:tcW w:w="1130" w:type="dxa"/>
            <w:noWrap w:val="0"/>
            <w:vAlign w:val="center"/>
          </w:tcPr>
          <w:p w14:paraId="15D6FAFC">
            <w:pPr>
              <w:jc w:val="center"/>
              <w:rPr>
                <w:rFonts w:hint="eastAsia" w:ascii="宋体" w:hAnsi="宋体" w:eastAsia="宋体" w:cs="宋体"/>
                <w:b w:val="0"/>
                <w:bCs/>
                <w:kern w:val="2"/>
                <w:sz w:val="24"/>
                <w:szCs w:val="24"/>
                <w:highlight w:val="none"/>
                <w:lang w:val="en-US" w:eastAsia="zh-CN" w:bidi="ar-SA"/>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w:t>
            </w:r>
          </w:p>
        </w:tc>
        <w:tc>
          <w:tcPr>
            <w:tcW w:w="1027" w:type="pct"/>
            <w:noWrap w:val="0"/>
            <w:vAlign w:val="top"/>
          </w:tcPr>
          <w:p w14:paraId="0330408F">
            <w:pPr>
              <w:spacing w:line="360" w:lineRule="auto"/>
              <w:rPr>
                <w:rFonts w:hint="eastAsia" w:ascii="宋体" w:hAnsi="宋体" w:eastAsia="宋体" w:cs="宋体"/>
                <w:b w:val="0"/>
                <w:bCs/>
                <w:kern w:val="2"/>
                <w:sz w:val="24"/>
                <w:szCs w:val="24"/>
                <w:highlight w:val="none"/>
                <w:lang w:val="en-US" w:eastAsia="zh-CN" w:bidi="ar-SA"/>
              </w:rPr>
            </w:pPr>
          </w:p>
        </w:tc>
        <w:tc>
          <w:tcPr>
            <w:tcW w:w="1027" w:type="pct"/>
            <w:noWrap w:val="0"/>
            <w:vAlign w:val="top"/>
          </w:tcPr>
          <w:p w14:paraId="2088783C">
            <w:pPr>
              <w:spacing w:line="360" w:lineRule="auto"/>
              <w:rPr>
                <w:rFonts w:hint="eastAsia" w:ascii="宋体" w:hAnsi="宋体" w:eastAsia="宋体" w:cs="宋体"/>
                <w:b w:val="0"/>
                <w:bCs/>
                <w:color w:val="000000"/>
                <w:sz w:val="24"/>
                <w:szCs w:val="24"/>
                <w:highlight w:val="none"/>
              </w:rPr>
            </w:pPr>
          </w:p>
        </w:tc>
      </w:tr>
      <w:bookmarkEnd w:id="2"/>
      <w:tr w14:paraId="1241B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355" w:type="pct"/>
            <w:gridSpan w:val="2"/>
            <w:noWrap w:val="0"/>
            <w:vAlign w:val="center"/>
          </w:tcPr>
          <w:p w14:paraId="17671447">
            <w:pPr>
              <w:pStyle w:val="4"/>
              <w:pageBreakBefore w:val="0"/>
              <w:kinsoku/>
              <w:wordWrap/>
              <w:overflowPunct/>
              <w:topLinePunct w:val="0"/>
              <w:autoSpaceDE/>
              <w:autoSpaceDN/>
              <w:bidi w:val="0"/>
              <w:adjustRightInd w:val="0"/>
              <w:snapToGrid w:val="0"/>
              <w:spacing w:line="360" w:lineRule="auto"/>
              <w:jc w:val="center"/>
              <w:outlineLvl w:val="9"/>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合计（元）：</w:t>
            </w:r>
          </w:p>
        </w:tc>
        <w:tc>
          <w:tcPr>
            <w:tcW w:w="3644" w:type="pct"/>
            <w:gridSpan w:val="4"/>
            <w:noWrap w:val="0"/>
            <w:vAlign w:val="center"/>
          </w:tcPr>
          <w:p w14:paraId="110E2C48">
            <w:pPr>
              <w:spacing w:line="360" w:lineRule="auto"/>
              <w:rPr>
                <w:rFonts w:hint="eastAsia" w:ascii="宋体" w:hAnsi="宋体" w:eastAsia="宋体" w:cs="宋体"/>
                <w:color w:val="000000"/>
                <w:sz w:val="24"/>
                <w:szCs w:val="24"/>
                <w:highlight w:val="none"/>
              </w:rPr>
            </w:pPr>
          </w:p>
        </w:tc>
      </w:tr>
    </w:tbl>
    <w:p w14:paraId="0F8263DB">
      <w:pPr>
        <w:pStyle w:val="8"/>
        <w:numPr>
          <w:ilvl w:val="0"/>
          <w:numId w:val="4"/>
        </w:numPr>
        <w:spacing w:line="360" w:lineRule="auto"/>
        <w:ind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rPr>
        <w:t>合同金额及年限 ：</w:t>
      </w:r>
    </w:p>
    <w:p w14:paraId="68C9E665">
      <w:pPr>
        <w:pStyle w:val="9"/>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1、合同总额：</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p>
    <w:p w14:paraId="1F25FA78">
      <w:pPr>
        <w:pStyle w:val="9"/>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2、合同总额包括完成本项目的所有费用、各项税费和合同中规定乙方应承担的其他义务的费用等。</w:t>
      </w:r>
    </w:p>
    <w:p w14:paraId="48EE8A4D">
      <w:pPr>
        <w:pStyle w:val="9"/>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3.合同年限：合同签订后至</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年</w:t>
      </w:r>
      <w:r>
        <w:rPr>
          <w:rFonts w:hint="eastAsia" w:ascii="宋体" w:hAnsi="宋体" w:eastAsia="宋体" w:cs="宋体"/>
          <w:sz w:val="24"/>
          <w:szCs w:val="24"/>
          <w:highlight w:val="none"/>
        </w:rPr>
        <w:t>免费质保期满时止。</w:t>
      </w:r>
    </w:p>
    <w:p w14:paraId="290225E9">
      <w:pPr>
        <w:numPr>
          <w:ilvl w:val="0"/>
          <w:numId w:val="0"/>
        </w:numPr>
        <w:spacing w:line="360" w:lineRule="auto"/>
        <w:ind w:left="0" w:lef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bidi="ar-SA"/>
        </w:rPr>
        <w:t>四、</w:t>
      </w:r>
      <w:r>
        <w:rPr>
          <w:rFonts w:hint="eastAsia" w:ascii="宋体" w:hAnsi="宋体" w:eastAsia="宋体" w:cs="宋体"/>
          <w:b/>
          <w:sz w:val="24"/>
          <w:szCs w:val="24"/>
          <w:highlight w:val="none"/>
          <w:lang w:val="en-US" w:eastAsia="zh-CN"/>
        </w:rPr>
        <w:t>服务</w:t>
      </w:r>
      <w:r>
        <w:rPr>
          <w:rFonts w:hint="eastAsia" w:ascii="宋体" w:hAnsi="宋体" w:eastAsia="宋体" w:cs="宋体"/>
          <w:b/>
          <w:sz w:val="24"/>
          <w:szCs w:val="24"/>
          <w:highlight w:val="none"/>
        </w:rPr>
        <w:t>时间、地点、</w:t>
      </w:r>
      <w:r>
        <w:rPr>
          <w:rFonts w:hint="eastAsia" w:ascii="宋体" w:hAnsi="宋体" w:eastAsia="宋体" w:cs="宋体"/>
          <w:b/>
          <w:sz w:val="24"/>
          <w:szCs w:val="24"/>
          <w:highlight w:val="none"/>
          <w:lang w:val="en-US" w:eastAsia="zh-CN"/>
        </w:rPr>
        <w:t>服务期</w:t>
      </w:r>
      <w:r>
        <w:rPr>
          <w:rFonts w:hint="eastAsia" w:ascii="宋体" w:hAnsi="宋体" w:eastAsia="宋体" w:cs="宋体"/>
          <w:b/>
          <w:sz w:val="24"/>
          <w:szCs w:val="24"/>
          <w:highlight w:val="none"/>
        </w:rPr>
        <w:t>：</w:t>
      </w:r>
    </w:p>
    <w:p w14:paraId="5D463C09">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服务时间</w:t>
      </w:r>
      <w:r>
        <w:rPr>
          <w:rFonts w:hint="eastAsia" w:ascii="宋体" w:hAnsi="宋体" w:eastAsia="宋体" w:cs="宋体"/>
          <w:sz w:val="24"/>
          <w:szCs w:val="24"/>
          <w:highlight w:val="none"/>
        </w:rPr>
        <w:t xml:space="preserve">： </w:t>
      </w:r>
    </w:p>
    <w:p w14:paraId="7DCF267A">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服务</w:t>
      </w:r>
      <w:r>
        <w:rPr>
          <w:rFonts w:hint="eastAsia" w:ascii="宋体" w:hAnsi="宋体" w:eastAsia="宋体" w:cs="宋体"/>
          <w:sz w:val="24"/>
          <w:szCs w:val="24"/>
          <w:highlight w:val="none"/>
        </w:rPr>
        <w:t>地点：</w:t>
      </w:r>
    </w:p>
    <w:p w14:paraId="66598BB3">
      <w:pPr>
        <w:spacing w:line="360" w:lineRule="auto"/>
        <w:ind w:firstLine="508" w:firstLineChars="212"/>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接收经办人：</w:t>
      </w:r>
      <w:r>
        <w:rPr>
          <w:rFonts w:hint="eastAsia" w:ascii="宋体" w:hAnsi="宋体" w:eastAsia="宋体" w:cs="宋体"/>
          <w:sz w:val="24"/>
          <w:szCs w:val="24"/>
          <w:highlight w:val="none"/>
          <w:u w:val="single"/>
          <w:lang w:val="en-US" w:eastAsia="zh-CN"/>
        </w:rPr>
        <w:t xml:space="preserve">                        </w:t>
      </w:r>
    </w:p>
    <w:p w14:paraId="76339510">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地</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址：</w:t>
      </w:r>
      <w:r>
        <w:rPr>
          <w:rFonts w:hint="eastAsia" w:ascii="宋体" w:hAnsi="宋体" w:eastAsia="宋体" w:cs="宋体"/>
          <w:sz w:val="24"/>
          <w:szCs w:val="24"/>
          <w:highlight w:val="none"/>
          <w:u w:val="single"/>
          <w:lang w:val="en-US" w:eastAsia="zh-CN"/>
        </w:rPr>
        <w:t xml:space="preserve">                        </w:t>
      </w:r>
    </w:p>
    <w:p w14:paraId="3ABDC700">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邮</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编：</w:t>
      </w:r>
      <w:r>
        <w:rPr>
          <w:rFonts w:hint="eastAsia" w:ascii="宋体" w:hAnsi="宋体" w:eastAsia="宋体" w:cs="宋体"/>
          <w:sz w:val="24"/>
          <w:szCs w:val="24"/>
          <w:highlight w:val="none"/>
          <w:u w:val="single"/>
          <w:lang w:val="en-US" w:eastAsia="zh-CN"/>
        </w:rPr>
        <w:t xml:space="preserve">                        </w:t>
      </w:r>
    </w:p>
    <w:p w14:paraId="08714DDC">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电</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话：</w:t>
      </w:r>
      <w:r>
        <w:rPr>
          <w:rFonts w:hint="eastAsia" w:ascii="宋体" w:hAnsi="宋体" w:eastAsia="宋体" w:cs="宋体"/>
          <w:sz w:val="24"/>
          <w:szCs w:val="24"/>
          <w:highlight w:val="none"/>
          <w:u w:val="single"/>
          <w:lang w:val="en-US" w:eastAsia="zh-CN"/>
        </w:rPr>
        <w:t xml:space="preserve">                        </w:t>
      </w:r>
    </w:p>
    <w:p w14:paraId="7CE898BC">
      <w:pPr>
        <w:spacing w:line="360" w:lineRule="auto"/>
        <w:ind w:firstLine="508" w:firstLineChars="212"/>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真：</w:t>
      </w:r>
      <w:r>
        <w:rPr>
          <w:rFonts w:hint="eastAsia" w:ascii="宋体" w:hAnsi="宋体" w:eastAsia="宋体" w:cs="宋体"/>
          <w:sz w:val="24"/>
          <w:szCs w:val="24"/>
          <w:highlight w:val="none"/>
          <w:u w:val="single"/>
          <w:lang w:val="en-US" w:eastAsia="zh-CN"/>
        </w:rPr>
        <w:t xml:space="preserve">                        </w:t>
      </w:r>
    </w:p>
    <w:p w14:paraId="7E6368D2">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合同履行期限</w:t>
      </w:r>
      <w:r>
        <w:rPr>
          <w:rFonts w:hint="eastAsia" w:ascii="宋体" w:hAnsi="宋体" w:eastAsia="宋体" w:cs="宋体"/>
          <w:sz w:val="24"/>
          <w:szCs w:val="24"/>
          <w:highlight w:val="none"/>
        </w:rPr>
        <w:t>：合同签订后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以中标单位响应时间为准</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个日历日内完成系统上线</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并通过验收。</w:t>
      </w:r>
      <w:r>
        <w:rPr>
          <w:rFonts w:hint="eastAsia" w:ascii="宋体" w:hAnsi="宋体" w:eastAsia="宋体" w:cs="宋体"/>
          <w:sz w:val="24"/>
          <w:szCs w:val="24"/>
          <w:highlight w:val="none"/>
        </w:rPr>
        <w:t>因不可抗拒因素或双方达成一致的工期变更事项，双方另行商定。</w:t>
      </w:r>
    </w:p>
    <w:p w14:paraId="6D5B1246">
      <w:pPr>
        <w:pStyle w:val="8"/>
        <w:numPr>
          <w:ilvl w:val="0"/>
          <w:numId w:val="0"/>
        </w:numPr>
        <w:spacing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bidi="ar-SA"/>
        </w:rPr>
        <w:t>五</w:t>
      </w:r>
      <w:r>
        <w:rPr>
          <w:rFonts w:hint="eastAsia" w:ascii="宋体" w:hAnsi="宋体" w:eastAsia="宋体" w:cs="宋体"/>
          <w:sz w:val="24"/>
          <w:szCs w:val="24"/>
          <w:highlight w:val="none"/>
          <w:lang w:val="en-US" w:eastAsia="zh-CN" w:bidi="ar-SA"/>
        </w:rPr>
        <w:t>、</w:t>
      </w:r>
      <w:r>
        <w:rPr>
          <w:rFonts w:hint="eastAsia" w:ascii="宋体" w:hAnsi="宋体" w:eastAsia="宋体" w:cs="宋体"/>
          <w:b/>
          <w:sz w:val="24"/>
          <w:szCs w:val="24"/>
          <w:highlight w:val="none"/>
        </w:rPr>
        <w:t>维护及服务：</w:t>
      </w:r>
    </w:p>
    <w:p w14:paraId="440E9C20">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1、整体系统建设安全、性能稳定，遵循国家相关标准和规范。</w:t>
      </w:r>
    </w:p>
    <w:p w14:paraId="10C81231">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2、质保期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含软、硬件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：项目整体建设完成并验收合格之日起质保</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p>
    <w:p w14:paraId="6F8F9845">
      <w:pPr>
        <w:spacing w:line="360" w:lineRule="auto"/>
        <w:ind w:firstLine="508" w:firstLineChars="212"/>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3、针对本项目提供完成且切实可行的服务方案，</w:t>
      </w:r>
      <w:r>
        <w:rPr>
          <w:rFonts w:hint="eastAsia" w:ascii="宋体" w:hAnsi="宋体" w:eastAsia="宋体" w:cs="宋体"/>
          <w:sz w:val="24"/>
          <w:szCs w:val="24"/>
          <w:highlight w:val="none"/>
          <w:lang w:val="en-US" w:eastAsia="zh-CN"/>
        </w:rPr>
        <w:t>质保期内</w:t>
      </w:r>
      <w:r>
        <w:rPr>
          <w:rFonts w:hint="eastAsia" w:ascii="宋体" w:hAnsi="宋体" w:eastAsia="宋体" w:cs="宋体"/>
          <w:sz w:val="24"/>
          <w:szCs w:val="24"/>
          <w:highlight w:val="none"/>
        </w:rPr>
        <w:t>提供7×24小时热线电</w:t>
      </w:r>
      <w:r>
        <w:rPr>
          <w:rFonts w:hint="eastAsia" w:ascii="宋体" w:hAnsi="宋体" w:eastAsia="宋体" w:cs="宋体"/>
          <w:color w:val="auto"/>
          <w:sz w:val="24"/>
          <w:szCs w:val="24"/>
          <w:highlight w:val="none"/>
        </w:rPr>
        <w:t>话、远程网络、现场等服务方式。服务团队应在接到医院服务请求后</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小时内到达现场。</w:t>
      </w:r>
    </w:p>
    <w:p w14:paraId="6DA172E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供应商所提供</w:t>
      </w:r>
      <w:r>
        <w:rPr>
          <w:rFonts w:hint="eastAsia" w:ascii="宋体" w:hAnsi="宋体" w:cs="宋体"/>
          <w:color w:val="auto"/>
          <w:sz w:val="24"/>
          <w:szCs w:val="24"/>
          <w:highlight w:val="none"/>
          <w:lang w:val="en-US" w:eastAsia="zh-CN"/>
        </w:rPr>
        <w:t>的服务器、电脑软硬件须满足政府安可办要求的安可产品，服务器系统和数据库为国产正版授权，</w:t>
      </w:r>
      <w:r>
        <w:rPr>
          <w:rFonts w:hint="eastAsia" w:ascii="宋体" w:hAnsi="宋体" w:eastAsia="宋体" w:cs="宋体"/>
          <w:color w:val="auto"/>
          <w:sz w:val="24"/>
          <w:szCs w:val="24"/>
          <w:highlight w:val="none"/>
          <w:lang w:val="en-US" w:eastAsia="zh-CN"/>
        </w:rPr>
        <w:t>不得使用盗版软件，硬件设备需经合法、正规渠道购入，满足国家三包要求</w:t>
      </w:r>
      <w:r>
        <w:rPr>
          <w:rFonts w:hint="eastAsia" w:ascii="宋体" w:hAnsi="宋体" w:eastAsia="宋体" w:cs="宋体"/>
          <w:color w:val="auto"/>
          <w:sz w:val="24"/>
          <w:szCs w:val="24"/>
          <w:highlight w:val="none"/>
        </w:rPr>
        <w:t>。</w:t>
      </w:r>
    </w:p>
    <w:p w14:paraId="23972C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所有因服务质量出现的问题由成交供应商负责解决并承担所有费用。 </w:t>
      </w:r>
    </w:p>
    <w:p w14:paraId="38C5E3D9">
      <w:pPr>
        <w:spacing w:line="360" w:lineRule="auto"/>
        <w:ind w:firstLine="508" w:firstLineChars="212"/>
        <w:rPr>
          <w:rFonts w:hint="eastAsia" w:ascii="宋体" w:hAnsi="宋体" w:eastAsia="宋体" w:cs="宋体"/>
          <w:color w:val="auto"/>
          <w:sz w:val="24"/>
          <w:szCs w:val="24"/>
          <w:highlight w:val="none"/>
        </w:rPr>
      </w:pPr>
      <w:r>
        <w:rPr>
          <w:rFonts w:hint="eastAsia"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、质保期过后另行签订服务合同。</w:t>
      </w:r>
    </w:p>
    <w:p w14:paraId="25767E81">
      <w:pPr>
        <w:spacing w:line="360" w:lineRule="auto"/>
        <w:ind w:firstLine="508" w:firstLineChars="212"/>
        <w:rPr>
          <w:rFonts w:hint="eastAsia" w:ascii="宋体" w:hAnsi="宋体" w:eastAsia="宋体" w:cs="宋体"/>
          <w:color w:val="auto"/>
          <w:sz w:val="24"/>
          <w:szCs w:val="24"/>
          <w:highlight w:val="none"/>
        </w:rPr>
      </w:pPr>
      <w:r>
        <w:rPr>
          <w:rFonts w:hint="eastAsia"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、实施范围：本项目所有招标采购内容。</w:t>
      </w:r>
    </w:p>
    <w:p w14:paraId="112D037A">
      <w:pPr>
        <w:pStyle w:val="8"/>
        <w:numPr>
          <w:ilvl w:val="0"/>
          <w:numId w:val="0"/>
        </w:numPr>
        <w:spacing w:line="360" w:lineRule="auto"/>
        <w:ind w:left="0" w:leftChars="0" w:firstLine="0" w:firstLine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bidi="ar-SA"/>
        </w:rPr>
        <w:t>六、</w:t>
      </w:r>
      <w:r>
        <w:rPr>
          <w:rFonts w:hint="eastAsia" w:ascii="宋体" w:hAnsi="宋体" w:eastAsia="宋体" w:cs="宋体"/>
          <w:b/>
          <w:color w:val="auto"/>
          <w:sz w:val="24"/>
          <w:szCs w:val="24"/>
          <w:highlight w:val="none"/>
        </w:rPr>
        <w:t>支付方式：</w:t>
      </w:r>
    </w:p>
    <w:p w14:paraId="1A96C41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按照项目的建设进度分期支付费用，具体的支付如下：</w:t>
      </w:r>
    </w:p>
    <w:p w14:paraId="71DD0F05">
      <w:pPr>
        <w:spacing w:line="360" w:lineRule="auto"/>
        <w:ind w:firstLine="508" w:firstLineChars="21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支付方式：银行转账</w:t>
      </w:r>
    </w:p>
    <w:p w14:paraId="06E2908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（一）付款方式：交货验收合格后，乙方向甲方开具正规发票，并提供所供货品明细单，甲方向乙方</w:t>
      </w:r>
      <w:r>
        <w:rPr>
          <w:rFonts w:hint="eastAsia" w:ascii="宋体" w:hAnsi="宋体" w:cs="宋体"/>
          <w:b w:val="0"/>
          <w:bCs w:val="0"/>
          <w:sz w:val="24"/>
          <w:szCs w:val="24"/>
          <w:highlight w:val="none"/>
          <w:lang w:val="en-US" w:eastAsia="zh-CN"/>
        </w:rPr>
        <w:t>一次性</w:t>
      </w:r>
      <w:r>
        <w:rPr>
          <w:rFonts w:hint="eastAsia" w:ascii="宋体" w:hAnsi="宋体" w:eastAsia="宋体" w:cs="宋体"/>
          <w:b w:val="0"/>
          <w:bCs w:val="0"/>
          <w:sz w:val="24"/>
          <w:szCs w:val="24"/>
          <w:highlight w:val="none"/>
          <w:lang w:val="en-US" w:eastAsia="zh-CN"/>
        </w:rPr>
        <w:t>转账支付</w:t>
      </w:r>
      <w:r>
        <w:rPr>
          <w:rFonts w:hint="eastAsia" w:ascii="宋体" w:hAnsi="宋体" w:cs="宋体"/>
          <w:b w:val="0"/>
          <w:bCs w:val="0"/>
          <w:sz w:val="24"/>
          <w:szCs w:val="24"/>
          <w:highlight w:val="none"/>
          <w:lang w:val="en-US" w:eastAsia="zh-CN"/>
        </w:rPr>
        <w:t>全部</w:t>
      </w:r>
      <w:r>
        <w:rPr>
          <w:rFonts w:hint="eastAsia" w:ascii="宋体" w:hAnsi="宋体" w:eastAsia="宋体" w:cs="宋体"/>
          <w:b w:val="0"/>
          <w:bCs w:val="0"/>
          <w:sz w:val="24"/>
          <w:szCs w:val="24"/>
          <w:highlight w:val="none"/>
          <w:lang w:val="en-US" w:eastAsia="zh-CN"/>
        </w:rPr>
        <w:t>货款。</w:t>
      </w:r>
    </w:p>
    <w:p w14:paraId="64B4F10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（二）支付方式：银行转账。乙方要如实开具发票，不得变更开票内容，乙方开具发票出现税务争议时，乙方需承担税款、滞纳金、罚款等赔偿责任以及其他相关责任。</w:t>
      </w:r>
    </w:p>
    <w:p w14:paraId="799F94D9">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left"/>
        <w:textAlignment w:val="baseline"/>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七、质量保证</w:t>
      </w:r>
    </w:p>
    <w:p w14:paraId="104F51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供应商提供的产品、材料和服务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2591E2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2、供应商应提供可承担维修职能的公司、全资分公司或办事处，并具备专业维护技术人员，并提供地点、联系人及联系电话（服务热线），随时解答各种疑问。</w:t>
      </w:r>
    </w:p>
    <w:p w14:paraId="0E24DF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3、服务方式:现场及远程服务，整体验收合格后线上综合服务平台质量保证期不低于</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年(质保期自验收合格后开始计算)，质保期内系统常规升级、补漏、维修等费用含在合同总价中（中标价格），并提供终身维修（护）。在质量保证期内发生重大故障，维修工程师处理响应时间≤0.5小时，3个工作日内无法恢复的故障提供免费备机服务。</w:t>
      </w:r>
    </w:p>
    <w:p w14:paraId="419E2F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4、对于存在质量问题或者短少的产品，供应商应在接到采购人的通知2个日历日内负责修复，调换、重新制作或补齐。</w:t>
      </w:r>
    </w:p>
    <w:p w14:paraId="14AB5CE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5、在项目竣工验收后的质量保证期内，供应商应对因产品质量或系统缺陷而产生的故障负责（负责解决并承担全部费用）。质保期满后如出现此类问题亦应负责。</w:t>
      </w:r>
    </w:p>
    <w:p w14:paraId="462319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对于未按约定提供质保服务的供应商或违约的供应商，采购人将拒绝其参加采购人单位的政府采购项目。且采购人有权委托第三方进行维修，所产生的费用由供应商承担，采购人有权从应付款或质保金中直接扣除，不足部分应由供应商支付。</w:t>
      </w:r>
    </w:p>
    <w:p w14:paraId="5D359AF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投标人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5F1D63A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怠于或无法提供技术支持的，采购人有权委托第三方处理，由此产生的费用和后果由供应商负责，费用直接从应付款或质保金中扣除。供应商指定的项目总协调人必须是供应商公司管理层人员。项目建设过程中一旦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14:paraId="52738C56">
      <w:pPr>
        <w:keepNext w:val="0"/>
        <w:keepLines w:val="0"/>
        <w:pageBreakBefore w:val="0"/>
        <w:kinsoku/>
        <w:wordWrap/>
        <w:overflowPunct/>
        <w:topLinePunct w:val="0"/>
        <w:autoSpaceDE/>
        <w:autoSpaceDN/>
        <w:bidi w:val="0"/>
        <w:spacing w:line="360" w:lineRule="auto"/>
        <w:ind w:left="0" w:firstLine="482"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八、</w:t>
      </w:r>
      <w:r>
        <w:rPr>
          <w:rFonts w:hint="eastAsia" w:ascii="宋体" w:hAnsi="宋体" w:eastAsia="宋体" w:cs="宋体"/>
          <w:b/>
          <w:color w:val="auto"/>
          <w:sz w:val="24"/>
          <w:szCs w:val="24"/>
          <w:highlight w:val="none"/>
        </w:rPr>
        <w:t>运输、安装、调试要求：</w:t>
      </w:r>
    </w:p>
    <w:p w14:paraId="61F30802">
      <w:pPr>
        <w:keepNext w:val="0"/>
        <w:keepLines w:val="0"/>
        <w:pageBreakBefore w:val="0"/>
        <w:shd w:val="clear" w:color="auto" w:fill="auto"/>
        <w:kinsoku/>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供应商根据产品特性，自行选择运输及包装方式，承担一切运输费用，包括从生产厂到采购人指定交货地点所需的装卸、运输（含保险费）及其他一切费用。</w:t>
      </w:r>
    </w:p>
    <w:p w14:paraId="33FA72AB">
      <w:pPr>
        <w:keepNext w:val="0"/>
        <w:keepLines w:val="0"/>
        <w:pageBreakBefore w:val="0"/>
        <w:shd w:val="clear" w:color="auto" w:fill="auto"/>
        <w:kinsoku/>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2.由供应商制定安装、调试及试运行的进度计划表。</w:t>
      </w:r>
    </w:p>
    <w:p w14:paraId="640ECDCB">
      <w:pPr>
        <w:keepNext w:val="0"/>
        <w:keepLines w:val="0"/>
        <w:pageBreakBefore w:val="0"/>
        <w:shd w:val="clear" w:color="auto" w:fill="auto"/>
        <w:kinsoku/>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210869D3">
      <w:pPr>
        <w:keepNext w:val="0"/>
        <w:keepLines w:val="0"/>
        <w:pageBreakBefore w:val="0"/>
        <w:shd w:val="clear" w:color="auto" w:fill="auto"/>
        <w:kinsoku/>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违约终止合同：未按合同要求提供货物或质量不能满足技术要求，甲方会同监督机构有权终止合同，对乙方违约行为进行追究，同时按政府采购法的有关规定进行相应的处罚。</w:t>
      </w:r>
    </w:p>
    <w:p w14:paraId="2D82E8A6">
      <w:pPr>
        <w:keepNext w:val="0"/>
        <w:keepLines w:val="0"/>
        <w:pageBreakBefore w:val="0"/>
        <w:shd w:val="clear" w:color="auto" w:fill="auto"/>
        <w:kinsoku/>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.安装和调试期间所发生的费用均由供应商负责。</w:t>
      </w:r>
    </w:p>
    <w:p w14:paraId="38436B9C">
      <w:pPr>
        <w:keepNext w:val="0"/>
        <w:keepLines w:val="0"/>
        <w:pageBreakBefore w:val="0"/>
        <w:shd w:val="clear" w:color="auto" w:fill="auto"/>
        <w:kinsoku/>
        <w:wordWrap/>
        <w:overflowPunct/>
        <w:topLinePunct w:val="0"/>
        <w:autoSpaceDE/>
        <w:autoSpaceDN/>
        <w:bidi w:val="0"/>
        <w:spacing w:line="360" w:lineRule="auto"/>
        <w:ind w:lef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.供应商应对安装调试、整改等实施过程的安全负责，如发生人身伤亡、财产损失的由供应商负责解决并承担全部责任。</w:t>
      </w:r>
    </w:p>
    <w:p w14:paraId="55DEAF38">
      <w:pPr>
        <w:pStyle w:val="2"/>
        <w:keepNext w:val="0"/>
        <w:keepLines w:val="0"/>
        <w:pageBreakBefore w:val="0"/>
        <w:kinsoku/>
        <w:wordWrap/>
        <w:overflowPunct/>
        <w:topLinePunct w:val="0"/>
        <w:autoSpaceDE/>
        <w:autoSpaceDN/>
        <w:bidi w:val="0"/>
        <w:spacing w:after="0" w:afterLines="0" w:line="360" w:lineRule="auto"/>
        <w:ind w:left="0" w:firstLine="480" w:firstLineChars="200"/>
        <w:jc w:val="left"/>
        <w:textAlignment w:val="auto"/>
        <w:outlineLvl w:val="9"/>
        <w:rPr>
          <w:rFonts w:hint="eastAsia" w:ascii="宋体" w:hAnsi="宋体" w:eastAsia="宋体" w:cs="宋体"/>
          <w:sz w:val="24"/>
          <w:szCs w:val="24"/>
          <w:highlight w:val="none"/>
          <w:lang w:val="en-US" w:eastAsia="zh-CN"/>
        </w:rPr>
      </w:pPr>
      <w:r>
        <w:rPr>
          <w:rFonts w:hint="eastAsia" w:ascii="宋体" w:hAnsi="宋体" w:eastAsia="宋体" w:cs="宋体"/>
          <w:color w:val="auto"/>
          <w:sz w:val="24"/>
          <w:szCs w:val="24"/>
          <w:highlight w:val="none"/>
          <w:lang w:val="en-US" w:eastAsia="zh-CN"/>
        </w:rPr>
        <w:t>备注：</w:t>
      </w:r>
      <w:r>
        <w:rPr>
          <w:rFonts w:hint="eastAsia" w:ascii="宋体" w:hAnsi="宋体" w:eastAsia="宋体" w:cs="宋体"/>
          <w:color w:val="auto"/>
          <w:sz w:val="24"/>
          <w:szCs w:val="24"/>
          <w:highlight w:val="none"/>
        </w:rPr>
        <w:t>除合同另有规定外，乙方提供的全部货物，均应按标准保护措施进行包装，并确保货物安全无损运抵甲方指定地点。每一个包装箱内应附一份详细装箱单和质量合格证</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乙方应保证甲方在使用该货物或其任何一部分时免受第三方提出侵犯其专利权•商标权或工业设计权的起诉。</w:t>
      </w:r>
    </w:p>
    <w:p w14:paraId="7C39300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left"/>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九</w:t>
      </w:r>
      <w:r>
        <w:rPr>
          <w:rFonts w:hint="eastAsia" w:ascii="宋体" w:hAnsi="宋体" w:eastAsia="宋体" w:cs="宋体"/>
          <w:b/>
          <w:bCs/>
          <w:sz w:val="24"/>
          <w:szCs w:val="24"/>
          <w:highlight w:val="none"/>
        </w:rPr>
        <w:t>、服务承诺</w:t>
      </w:r>
    </w:p>
    <w:p w14:paraId="00B7730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供应商应遵照国家规范规定的服务内容及要求作出明确承诺。</w:t>
      </w:r>
    </w:p>
    <w:p w14:paraId="2F4AB1D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（一）质量保证：</w:t>
      </w:r>
    </w:p>
    <w:p w14:paraId="11757A9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1.提供的服务必须满足</w:t>
      </w:r>
      <w:r>
        <w:rPr>
          <w:rFonts w:hint="eastAsia" w:ascii="宋体" w:hAnsi="宋体" w:eastAsia="宋体" w:cs="宋体"/>
          <w:sz w:val="24"/>
          <w:szCs w:val="24"/>
          <w:highlight w:val="none"/>
          <w:lang w:val="en-US" w:eastAsia="zh-CN"/>
        </w:rPr>
        <w:t>竞争性磋商</w:t>
      </w:r>
      <w:r>
        <w:rPr>
          <w:rFonts w:hint="eastAsia" w:ascii="宋体" w:hAnsi="宋体" w:eastAsia="宋体" w:cs="宋体"/>
          <w:sz w:val="24"/>
          <w:szCs w:val="24"/>
          <w:highlight w:val="none"/>
        </w:rPr>
        <w:t>文件要求。</w:t>
      </w:r>
    </w:p>
    <w:p w14:paraId="77F42B4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供应商所提供的软件系统须经正版HIS版权授权，不得使用盗版软件，硬件设备需经合法、正规渠道购入，满足国家三包要求</w:t>
      </w:r>
      <w:r>
        <w:rPr>
          <w:rFonts w:hint="eastAsia" w:ascii="宋体" w:hAnsi="宋体" w:eastAsia="宋体" w:cs="宋体"/>
          <w:sz w:val="24"/>
          <w:szCs w:val="24"/>
          <w:highlight w:val="none"/>
        </w:rPr>
        <w:t>。</w:t>
      </w:r>
    </w:p>
    <w:p w14:paraId="50ACAB1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3.所有因服务质量出现的问题由成交供应商负责解决并承担所有费用。 </w:t>
      </w:r>
    </w:p>
    <w:p w14:paraId="344574C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（二）合同实施：</w:t>
      </w:r>
    </w:p>
    <w:p w14:paraId="0EF7165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若未能在服务期限内完成合同规定的义务，由此对采购人造成的延误和一切损失，由成交供应商承担和赔偿。</w:t>
      </w:r>
    </w:p>
    <w:p w14:paraId="49CE13B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（三）知识产权：</w:t>
      </w:r>
    </w:p>
    <w:p w14:paraId="7CE9CDB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供应商应保证投标设备及服务不会出现因第三方提出侵权其专利权、商标权或其它知识产权而引发法律或经济纠纷，否则由供应商承担全部责任。任何被供应商用于未经授权的商业目的行为所造成的违约或侵权责任由供应商承担。</w:t>
      </w:r>
    </w:p>
    <w:p w14:paraId="070035C7">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left"/>
        <w:textAlignment w:val="baseline"/>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十、更换与版本升级</w:t>
      </w:r>
    </w:p>
    <w:p w14:paraId="58CF96D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highlight w:val="none"/>
        </w:rPr>
      </w:pPr>
      <w:r>
        <w:rPr>
          <w:rFonts w:hint="eastAsia" w:ascii="宋体" w:hAnsi="宋体" w:eastAsia="宋体" w:cs="宋体"/>
          <w:sz w:val="24"/>
          <w:szCs w:val="24"/>
          <w:highlight w:val="none"/>
          <w:lang w:val="en-US" w:eastAsia="zh-CN"/>
        </w:rPr>
        <w:t>质保期内，本合同软件的功能、性能作了改进、扩充、或运行平台升级而发布同版本优化时，乙方将为甲方使用的本合同软件进行免费升级。</w:t>
      </w:r>
    </w:p>
    <w:p w14:paraId="76A981FE">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left"/>
        <w:textAlignment w:val="baseline"/>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十一、保密</w:t>
      </w:r>
    </w:p>
    <w:p w14:paraId="6BFDB09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1、甲方保护乙方的知识产权，保证不对软件进行解密和盗版；</w:t>
      </w:r>
    </w:p>
    <w:p w14:paraId="379E40C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2、乙方对甲方工作数据及运行情况保密，保证不将甲方数据情况泄露；</w:t>
      </w:r>
    </w:p>
    <w:p w14:paraId="76F9DED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3、除非得到另一方的书面许可，甲乙双方均不得将本合同中的内容及在本合同执行</w:t>
      </w:r>
      <w:r>
        <w:rPr>
          <w:rFonts w:hint="eastAsia" w:ascii="宋体" w:hAnsi="宋体" w:eastAsia="宋体" w:cs="宋体"/>
          <w:sz w:val="24"/>
          <w:szCs w:val="24"/>
          <w:highlight w:val="none"/>
        </w:rPr>
        <w:t>程中获得的对方的商业信息向任何第三方泄露。</w:t>
      </w:r>
    </w:p>
    <w:p w14:paraId="74A8B77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jc w:val="left"/>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十二</w:t>
      </w:r>
      <w:r>
        <w:rPr>
          <w:rFonts w:hint="eastAsia" w:ascii="宋体" w:hAnsi="宋体" w:eastAsia="宋体" w:cs="宋体"/>
          <w:b/>
          <w:bCs/>
          <w:sz w:val="24"/>
          <w:szCs w:val="24"/>
          <w:highlight w:val="none"/>
        </w:rPr>
        <w:t>、验收</w:t>
      </w:r>
    </w:p>
    <w:p w14:paraId="3DE23C7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1、安装验收标准：在硬件正常运转的情况下，本合同软件所用模块功能运行正常一个月。</w:t>
      </w:r>
    </w:p>
    <w:p w14:paraId="1F7DC892">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2、提供软件操作手册，对医院相关人员进行培训，培训内容为本合同软件操作方法，保证操作人员能独立完成工作。</w:t>
      </w:r>
      <w:r>
        <w:rPr>
          <w:rFonts w:hint="eastAsia" w:ascii="宋体" w:hAnsi="宋体" w:eastAsia="宋体" w:cs="宋体"/>
          <w:sz w:val="24"/>
          <w:szCs w:val="24"/>
          <w:highlight w:val="none"/>
        </w:rPr>
        <w:t>乙方根据本项目招标方案中的培训要求，制定培训计划，甲方提供培训场地，乙方免费为甲方提供相关人员的现场技术培训，协助甲方考核，直至系统正常使用。</w:t>
      </w:r>
    </w:p>
    <w:p w14:paraId="300FC8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3、实施完成并经验收合格正式交付使用，整个系统均能正常运行。为使整个系统能够顺利进行、保证数据的安全及乙方在维护时准确判断问题所在，甲方协调提供以下配合</w:t>
      </w:r>
    </w:p>
    <w:p w14:paraId="23C5D09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（1）如果医院需在机器上安装调试、更换软件以及其他非乙方公司提供的软件时，应在事前与乙方联系；</w:t>
      </w:r>
    </w:p>
    <w:p w14:paraId="56292342">
      <w:pPr>
        <w:keepNext w:val="0"/>
        <w:keepLines w:val="0"/>
        <w:pageBreakBefore w:val="0"/>
        <w:widowControl/>
        <w:numPr>
          <w:ilvl w:val="0"/>
          <w:numId w:val="5"/>
        </w:numPr>
        <w:kinsoku w:val="0"/>
        <w:wordWrap/>
        <w:overflowPunct/>
        <w:topLinePunct w:val="0"/>
        <w:autoSpaceDE w:val="0"/>
        <w:autoSpaceDN w:val="0"/>
        <w:bidi w:val="0"/>
        <w:adjustRightInd w:val="0"/>
        <w:snapToGrid w:val="0"/>
        <w:spacing w:line="360" w:lineRule="auto"/>
        <w:ind w:left="0" w:leftChars="0"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做好专人专用，尽量避免使用来历不明的磁盘，以免感染病毒； </w:t>
      </w:r>
    </w:p>
    <w:p w14:paraId="46B6B6E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（3）在实施过程中，甲方协调安排专人配合乙方工作。</w:t>
      </w:r>
    </w:p>
    <w:p w14:paraId="34F0E17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、采购人应当在供应商提出验收申请之日起 10 个工作日内完成验收。验收合格且满足合同约定支付条件的，采购人应当自交付之日起 30 日内支付款项，合同另有约定的，付款期限最长不得超过 60 日。不得以任何不合理理由延迟验收和付款，不得将招标文件和合同中未规定的义务作为验收和付款条件。</w:t>
      </w:r>
    </w:p>
    <w:p w14:paraId="4FA22C9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、验收依据：</w:t>
      </w:r>
    </w:p>
    <w:p w14:paraId="31E024A7">
      <w:pPr>
        <w:keepNext w:val="0"/>
        <w:keepLines w:val="0"/>
        <w:pageBreakBefore w:val="0"/>
        <w:kinsoku/>
        <w:wordWrap/>
        <w:overflowPunct/>
        <w:topLinePunct w:val="0"/>
        <w:autoSpaceDE/>
        <w:autoSpaceDN/>
        <w:bidi w:val="0"/>
        <w:spacing w:line="360" w:lineRule="auto"/>
        <w:ind w:left="0" w:firstLine="482" w:firstLineChars="200"/>
        <w:jc w:val="left"/>
        <w:textAlignment w:val="auto"/>
        <w:outlineLvl w:val="9"/>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由采购人和供应商共同对项目进行整体验收。其内容包括所有产品清单的供货、使用等是否达到验收规范“合格”标准、是否按照采购人要求按时完成。</w:t>
      </w:r>
    </w:p>
    <w:p w14:paraId="6AF978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5-1.所验各项内容最终验收达不到招标文件要求和投标文件承诺的，或在后续使用中发现采购人不能容忍的缺陷等，将视为验收不合格，供应商应在采购人要求的时间内无条件整改及恢复。</w:t>
      </w:r>
    </w:p>
    <w:p w14:paraId="606EDE3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5-2.若发现供应商有弄虚作假的，在招标阶段故意或随意夸大技术能力、服务质量的，采购人有权解除合同，并且要求供应商赔偿相关损失。</w:t>
      </w:r>
    </w:p>
    <w:p w14:paraId="30C1DD2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5-3.验收标准：按招标文件、投标文件及澄清函等技术指标进行验收。各项指标均应符合验收标准及要求。</w:t>
      </w:r>
    </w:p>
    <w:p w14:paraId="034299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5-4.验收合格后，填写验收单，双方签字生效。</w:t>
      </w:r>
    </w:p>
    <w:p w14:paraId="2E8D0D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5-5.验收依据：</w:t>
      </w:r>
    </w:p>
    <w:p w14:paraId="022A2EC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（1）合同文本及合同补充文件（条款）；</w:t>
      </w:r>
    </w:p>
    <w:p w14:paraId="28F404D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（2）国家和行业制定的相应的标准和规范； </w:t>
      </w:r>
    </w:p>
    <w:p w14:paraId="0550266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（2）产品的合法来源渠道证明文件、响应功能证明材料；</w:t>
      </w:r>
    </w:p>
    <w:p w14:paraId="244F3C0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（3）招标文件；</w:t>
      </w:r>
    </w:p>
    <w:p w14:paraId="1089061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（4）中标人的投标文件；</w:t>
      </w:r>
    </w:p>
    <w:p w14:paraId="41E0002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（5）货物清单；</w:t>
      </w:r>
    </w:p>
    <w:p w14:paraId="02367A6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（6）生产厂家的企业资质、货物的执行标准。</w:t>
      </w:r>
    </w:p>
    <w:p w14:paraId="30434619">
      <w:pPr>
        <w:numPr>
          <w:ilvl w:val="0"/>
          <w:numId w:val="0"/>
        </w:numPr>
        <w:spacing w:line="360" w:lineRule="auto"/>
        <w:ind w:left="0" w:lef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十三、</w:t>
      </w:r>
      <w:r>
        <w:rPr>
          <w:rFonts w:hint="eastAsia" w:ascii="宋体" w:hAnsi="宋体" w:eastAsia="宋体" w:cs="宋体"/>
          <w:b/>
          <w:sz w:val="24"/>
          <w:szCs w:val="24"/>
          <w:highlight w:val="none"/>
        </w:rPr>
        <w:t>甲方的权利和义务：</w:t>
      </w:r>
    </w:p>
    <w:p w14:paraId="1E5002B0">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1、安排专职人员或协调相关科室，配合乙方开展现场实施时的相关工作。</w:t>
      </w:r>
    </w:p>
    <w:p w14:paraId="24CE676D">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2、及时对乙方提供的执行文档进行确认。</w:t>
      </w:r>
    </w:p>
    <w:p w14:paraId="641F809A">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3、按照合同约定，及时组织及完成对乙方的项目验收工作。</w:t>
      </w:r>
    </w:p>
    <w:p w14:paraId="57ECBA91">
      <w:pPr>
        <w:numPr>
          <w:ilvl w:val="0"/>
          <w:numId w:val="0"/>
        </w:numPr>
        <w:spacing w:line="360" w:lineRule="auto"/>
        <w:ind w:left="0" w:lef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十四、</w:t>
      </w:r>
      <w:r>
        <w:rPr>
          <w:rFonts w:hint="eastAsia" w:ascii="宋体" w:hAnsi="宋体" w:eastAsia="宋体" w:cs="宋体"/>
          <w:b/>
          <w:sz w:val="24"/>
          <w:szCs w:val="24"/>
          <w:highlight w:val="none"/>
        </w:rPr>
        <w:t>乙方的权利和义务：</w:t>
      </w:r>
      <w:r>
        <w:rPr>
          <w:rFonts w:hint="eastAsia" w:ascii="宋体" w:hAnsi="宋体" w:eastAsia="宋体" w:cs="宋体"/>
          <w:b/>
          <w:sz w:val="24"/>
          <w:szCs w:val="24"/>
          <w:highlight w:val="none"/>
        </w:rPr>
        <w:tab/>
      </w:r>
    </w:p>
    <w:p w14:paraId="58C59F37">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1、按照合同内容进行各系统的实施搭建，负责按期完成合同约定建设内容。</w:t>
      </w:r>
    </w:p>
    <w:p w14:paraId="75012C5E">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2、对甲方相关人员进行操作培训，直至熟练运用。</w:t>
      </w:r>
    </w:p>
    <w:p w14:paraId="7C9731BF">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3、乙方确保系统稳定可靠，乙方负责系统安装、调试、培训等工作，并保证上述工作不影响甲方使用人员的正常使用。</w:t>
      </w:r>
    </w:p>
    <w:p w14:paraId="1CC5674C">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4、定期回访，对甲方各部门使用的问题进行记录，及时解决。</w:t>
      </w:r>
    </w:p>
    <w:p w14:paraId="0BE12DF1">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5、提供7×24小时电话、远程、现场等服务和技术支持，解答甲方在使用过程中遇到的问题，及时为甲方提出解决问题的办法或建议。</w:t>
      </w:r>
    </w:p>
    <w:p w14:paraId="5308C589">
      <w:pPr>
        <w:numPr>
          <w:ilvl w:val="0"/>
          <w:numId w:val="0"/>
        </w:numPr>
        <w:spacing w:line="360" w:lineRule="auto"/>
        <w:ind w:left="0" w:lef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bidi="ar-SA"/>
        </w:rPr>
        <w:t>十五、</w:t>
      </w:r>
      <w:r>
        <w:rPr>
          <w:rFonts w:hint="eastAsia" w:ascii="宋体" w:hAnsi="宋体" w:eastAsia="宋体" w:cs="宋体"/>
          <w:b/>
          <w:sz w:val="24"/>
          <w:szCs w:val="24"/>
          <w:highlight w:val="none"/>
        </w:rPr>
        <w:t>合同的变更及终止：</w:t>
      </w:r>
    </w:p>
    <w:p w14:paraId="15E2CB82">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1、在合同履行过程中，如一方地址、电话、传真、账号、负责人等主要信息变更需要修改时，经</w:t>
      </w:r>
      <w:r>
        <w:rPr>
          <w:rFonts w:hint="eastAsia" w:ascii="宋体" w:hAnsi="宋体" w:eastAsia="宋体" w:cs="宋体"/>
          <w:sz w:val="24"/>
          <w:szCs w:val="24"/>
          <w:highlight w:val="none"/>
          <w:lang w:eastAsia="zh-CN"/>
        </w:rPr>
        <w:t>双方</w:t>
      </w:r>
      <w:r>
        <w:rPr>
          <w:rFonts w:hint="eastAsia" w:ascii="宋体" w:hAnsi="宋体" w:eastAsia="宋体" w:cs="宋体"/>
          <w:sz w:val="24"/>
          <w:szCs w:val="24"/>
          <w:highlight w:val="none"/>
        </w:rPr>
        <w:t>同意后签订补充协议作为本合同附件，否则，应承担相应责任。</w:t>
      </w:r>
    </w:p>
    <w:p w14:paraId="3CBA95CC">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2、经</w:t>
      </w:r>
      <w:r>
        <w:rPr>
          <w:rFonts w:hint="eastAsia" w:ascii="宋体" w:hAnsi="宋体" w:eastAsia="宋体" w:cs="宋体"/>
          <w:sz w:val="24"/>
          <w:szCs w:val="24"/>
          <w:highlight w:val="none"/>
          <w:lang w:eastAsia="zh-CN"/>
        </w:rPr>
        <w:t>双方</w:t>
      </w:r>
      <w:r>
        <w:rPr>
          <w:rFonts w:hint="eastAsia" w:ascii="宋体" w:hAnsi="宋体" w:eastAsia="宋体" w:cs="宋体"/>
          <w:sz w:val="24"/>
          <w:szCs w:val="24"/>
          <w:highlight w:val="none"/>
        </w:rPr>
        <w:t>协商同意，或因不可抗力使协议一方或</w:t>
      </w:r>
      <w:r>
        <w:rPr>
          <w:rFonts w:hint="eastAsia" w:ascii="宋体" w:hAnsi="宋体" w:eastAsia="宋体" w:cs="宋体"/>
          <w:sz w:val="24"/>
          <w:szCs w:val="24"/>
          <w:highlight w:val="none"/>
          <w:lang w:eastAsia="zh-CN"/>
        </w:rPr>
        <w:t>双方</w:t>
      </w:r>
      <w:r>
        <w:rPr>
          <w:rFonts w:hint="eastAsia" w:ascii="宋体" w:hAnsi="宋体" w:eastAsia="宋体" w:cs="宋体"/>
          <w:sz w:val="24"/>
          <w:szCs w:val="24"/>
          <w:highlight w:val="none"/>
        </w:rPr>
        <w:t>无法履行本合同时，可以解除本合同。</w:t>
      </w:r>
    </w:p>
    <w:p w14:paraId="1F9DBB1E">
      <w:pPr>
        <w:numPr>
          <w:ilvl w:val="0"/>
          <w:numId w:val="0"/>
        </w:numPr>
        <w:spacing w:line="360" w:lineRule="auto"/>
        <w:ind w:left="0" w:lef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bidi="ar-SA"/>
        </w:rPr>
        <w:t>十六、</w:t>
      </w:r>
      <w:r>
        <w:rPr>
          <w:rFonts w:hint="eastAsia" w:ascii="宋体" w:hAnsi="宋体" w:eastAsia="宋体" w:cs="宋体"/>
          <w:b/>
          <w:sz w:val="24"/>
          <w:szCs w:val="24"/>
          <w:highlight w:val="none"/>
        </w:rPr>
        <w:t>违约责任：</w:t>
      </w:r>
    </w:p>
    <w:p w14:paraId="343F95C4">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1、在合同履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违约金。乙方每延误一周的违约金按迟交货物交货价或未提供服务的服务费用的百分之零点五（0.5%）计收，直至交货或提供服务为止，违约金总额不超过合同总额的百分之五（5%）。</w:t>
      </w:r>
    </w:p>
    <w:p w14:paraId="60D26979">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2、因甲方违约导致合同终止的，乙方有权向甲方收取已交付产品所对应的合同价款及其他已履约部分所对应的合同价款。</w:t>
      </w:r>
    </w:p>
    <w:p w14:paraId="544C2229">
      <w:pPr>
        <w:numPr>
          <w:ilvl w:val="0"/>
          <w:numId w:val="0"/>
        </w:numPr>
        <w:spacing w:line="360" w:lineRule="auto"/>
        <w:ind w:left="0" w:lef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bidi="ar-SA"/>
        </w:rPr>
        <w:t>十七、</w:t>
      </w:r>
      <w:r>
        <w:rPr>
          <w:rFonts w:hint="eastAsia" w:ascii="宋体" w:hAnsi="宋体" w:eastAsia="宋体" w:cs="宋体"/>
          <w:b/>
          <w:sz w:val="24"/>
          <w:szCs w:val="24"/>
          <w:highlight w:val="none"/>
        </w:rPr>
        <w:t>争议解决：</w:t>
      </w:r>
    </w:p>
    <w:p w14:paraId="59349566">
      <w:pPr>
        <w:tabs>
          <w:tab w:val="left" w:pos="900"/>
        </w:tabs>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1、在本合同履行过程中如发生争议，</w:t>
      </w:r>
      <w:r>
        <w:rPr>
          <w:rFonts w:hint="eastAsia" w:ascii="宋体" w:hAnsi="宋体" w:eastAsia="宋体" w:cs="宋体"/>
          <w:sz w:val="24"/>
          <w:szCs w:val="24"/>
          <w:highlight w:val="none"/>
          <w:lang w:eastAsia="zh-CN"/>
        </w:rPr>
        <w:t>双方</w:t>
      </w:r>
      <w:r>
        <w:rPr>
          <w:rFonts w:hint="eastAsia" w:ascii="宋体" w:hAnsi="宋体" w:eastAsia="宋体" w:cs="宋体"/>
          <w:sz w:val="24"/>
          <w:szCs w:val="24"/>
          <w:highlight w:val="none"/>
        </w:rPr>
        <w:t>应当协商解决。</w:t>
      </w:r>
    </w:p>
    <w:p w14:paraId="5AE45028">
      <w:pPr>
        <w:tabs>
          <w:tab w:val="left" w:pos="900"/>
        </w:tabs>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双方</w:t>
      </w:r>
      <w:r>
        <w:rPr>
          <w:rFonts w:hint="eastAsia" w:ascii="宋体" w:hAnsi="宋体" w:eastAsia="宋体" w:cs="宋体"/>
          <w:sz w:val="24"/>
          <w:szCs w:val="24"/>
          <w:highlight w:val="none"/>
        </w:rPr>
        <w:t>不愿协商解决或者协商不成的，甲乙</w:t>
      </w:r>
      <w:r>
        <w:rPr>
          <w:rFonts w:hint="eastAsia" w:ascii="宋体" w:hAnsi="宋体" w:eastAsia="宋体" w:cs="宋体"/>
          <w:sz w:val="24"/>
          <w:szCs w:val="24"/>
          <w:highlight w:val="none"/>
          <w:lang w:eastAsia="zh-CN"/>
        </w:rPr>
        <w:t>双方</w:t>
      </w:r>
      <w:r>
        <w:rPr>
          <w:rFonts w:hint="eastAsia" w:ascii="宋体" w:hAnsi="宋体" w:eastAsia="宋体" w:cs="宋体"/>
          <w:sz w:val="24"/>
          <w:szCs w:val="24"/>
          <w:highlight w:val="none"/>
        </w:rPr>
        <w:t>同意由方所在地有管辖权的人民法院起诉。</w:t>
      </w:r>
    </w:p>
    <w:p w14:paraId="34E16196">
      <w:pPr>
        <w:numPr>
          <w:ilvl w:val="0"/>
          <w:numId w:val="0"/>
        </w:numPr>
        <w:spacing w:line="360" w:lineRule="auto"/>
        <w:ind w:left="0" w:lef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bidi="ar-SA"/>
        </w:rPr>
        <w:t>十八、</w:t>
      </w:r>
      <w:r>
        <w:rPr>
          <w:rFonts w:hint="eastAsia" w:ascii="宋体" w:hAnsi="宋体" w:eastAsia="宋体" w:cs="宋体"/>
          <w:b/>
          <w:sz w:val="24"/>
          <w:szCs w:val="24"/>
          <w:highlight w:val="none"/>
        </w:rPr>
        <w:t>不可抗力：</w:t>
      </w:r>
    </w:p>
    <w:p w14:paraId="37BC937A">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1、如发生不可抗力事件，受不可抗力事件影响的一方应在不可抗力发生后不迟于十四个工作日内，将不可抗力事件的发生，预计延续的时间和终止时间书面通知另一方。</w:t>
      </w:r>
      <w:r>
        <w:rPr>
          <w:rFonts w:hint="eastAsia" w:ascii="宋体" w:hAnsi="宋体" w:eastAsia="宋体" w:cs="宋体"/>
          <w:sz w:val="24"/>
          <w:szCs w:val="24"/>
          <w:highlight w:val="none"/>
          <w:lang w:eastAsia="zh-CN"/>
        </w:rPr>
        <w:t>双方</w:t>
      </w:r>
      <w:r>
        <w:rPr>
          <w:rFonts w:hint="eastAsia" w:ascii="宋体" w:hAnsi="宋体" w:eastAsia="宋体" w:cs="宋体"/>
          <w:sz w:val="24"/>
          <w:szCs w:val="24"/>
          <w:highlight w:val="none"/>
        </w:rPr>
        <w:t>同意，可据此免除全部或部分责任。</w:t>
      </w:r>
    </w:p>
    <w:p w14:paraId="1317FCE6">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2、不可抗力事件包括火灾、水灾、地震、台风、自然灾害、战争、交通瘫痪、突发疫情、国家政策等。主张不可抗力的一方有责任在发生不可抗力事件时采取适当的补救措施尽量减少不可抗力事件给合同</w:t>
      </w:r>
      <w:r>
        <w:rPr>
          <w:rFonts w:hint="eastAsia" w:ascii="宋体" w:hAnsi="宋体" w:eastAsia="宋体" w:cs="宋体"/>
          <w:sz w:val="24"/>
          <w:szCs w:val="24"/>
          <w:highlight w:val="none"/>
          <w:lang w:eastAsia="zh-CN"/>
        </w:rPr>
        <w:t>双方</w:t>
      </w:r>
      <w:r>
        <w:rPr>
          <w:rFonts w:hint="eastAsia" w:ascii="宋体" w:hAnsi="宋体" w:eastAsia="宋体" w:cs="宋体"/>
          <w:sz w:val="24"/>
          <w:szCs w:val="24"/>
          <w:highlight w:val="none"/>
        </w:rPr>
        <w:t>带来的损失，因此支付的费用由合同</w:t>
      </w:r>
      <w:r>
        <w:rPr>
          <w:rFonts w:hint="eastAsia" w:ascii="宋体" w:hAnsi="宋体" w:eastAsia="宋体" w:cs="宋体"/>
          <w:sz w:val="24"/>
          <w:szCs w:val="24"/>
          <w:highlight w:val="none"/>
          <w:lang w:eastAsia="zh-CN"/>
        </w:rPr>
        <w:t>双方</w:t>
      </w:r>
      <w:r>
        <w:rPr>
          <w:rFonts w:hint="eastAsia" w:ascii="宋体" w:hAnsi="宋体" w:eastAsia="宋体" w:cs="宋体"/>
          <w:sz w:val="24"/>
          <w:szCs w:val="24"/>
          <w:highlight w:val="none"/>
        </w:rPr>
        <w:t>依据受益比例合理分担。</w:t>
      </w:r>
    </w:p>
    <w:p w14:paraId="48E746A7">
      <w:pPr>
        <w:numPr>
          <w:ilvl w:val="0"/>
          <w:numId w:val="0"/>
        </w:numPr>
        <w:spacing w:line="360" w:lineRule="auto"/>
        <w:ind w:left="0" w:lef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bidi="ar-SA"/>
        </w:rPr>
        <w:t>十九、</w:t>
      </w:r>
      <w:r>
        <w:rPr>
          <w:rFonts w:hint="eastAsia" w:ascii="宋体" w:hAnsi="宋体" w:eastAsia="宋体" w:cs="宋体"/>
          <w:b/>
          <w:sz w:val="24"/>
          <w:szCs w:val="24"/>
          <w:highlight w:val="none"/>
        </w:rPr>
        <w:t>合同生效及其他：</w:t>
      </w:r>
    </w:p>
    <w:p w14:paraId="2C7D73E3">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1、本合同</w:t>
      </w:r>
      <w:r>
        <w:rPr>
          <w:rFonts w:hint="eastAsia" w:ascii="宋体" w:hAnsi="宋体" w:eastAsia="宋体" w:cs="宋体"/>
          <w:sz w:val="24"/>
          <w:szCs w:val="24"/>
          <w:highlight w:val="none"/>
          <w:u w:val="single"/>
        </w:rPr>
        <w:t>壹</w:t>
      </w:r>
      <w:r>
        <w:rPr>
          <w:rFonts w:hint="eastAsia" w:ascii="宋体" w:hAnsi="宋体" w:eastAsia="宋体" w:cs="宋体"/>
          <w:sz w:val="24"/>
          <w:szCs w:val="24"/>
          <w:highlight w:val="none"/>
        </w:rPr>
        <w:t>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份，甲乙方各执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份，经</w:t>
      </w:r>
      <w:r>
        <w:rPr>
          <w:rFonts w:hint="eastAsia" w:ascii="宋体" w:hAnsi="宋体" w:eastAsia="宋体" w:cs="宋体"/>
          <w:sz w:val="24"/>
          <w:szCs w:val="24"/>
          <w:highlight w:val="none"/>
          <w:lang w:val="en-US" w:eastAsia="zh-CN"/>
        </w:rPr>
        <w:t>双</w:t>
      </w:r>
      <w:r>
        <w:rPr>
          <w:rFonts w:hint="eastAsia" w:ascii="宋体" w:hAnsi="宋体" w:eastAsia="宋体" w:cs="宋体"/>
          <w:sz w:val="24"/>
          <w:szCs w:val="24"/>
          <w:highlight w:val="none"/>
        </w:rPr>
        <w:t>方签字并加盖公章即为生效。</w:t>
      </w:r>
    </w:p>
    <w:p w14:paraId="1DEA717B">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2、经甲乙</w:t>
      </w:r>
      <w:r>
        <w:rPr>
          <w:rFonts w:hint="eastAsia" w:ascii="宋体" w:hAnsi="宋体" w:eastAsia="宋体" w:cs="宋体"/>
          <w:sz w:val="24"/>
          <w:szCs w:val="24"/>
          <w:highlight w:val="none"/>
          <w:lang w:val="en-US" w:eastAsia="zh-CN"/>
        </w:rPr>
        <w:t>双</w:t>
      </w:r>
      <w:r>
        <w:rPr>
          <w:rFonts w:hint="eastAsia" w:ascii="宋体" w:hAnsi="宋体" w:eastAsia="宋体" w:cs="宋体"/>
          <w:sz w:val="24"/>
          <w:szCs w:val="24"/>
          <w:highlight w:val="none"/>
        </w:rPr>
        <w:t>方经办人签字并加盖公章的合同附件、补充协议等，与本合同具备同等法律效力。</w:t>
      </w:r>
    </w:p>
    <w:p w14:paraId="1797E3AD">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3、本项目的招标文件、乙方的投标文件及其承诺文件、《中标通知书》等是本合同不可分割之部分。</w:t>
      </w:r>
    </w:p>
    <w:p w14:paraId="28DD243D">
      <w:pPr>
        <w:spacing w:line="360" w:lineRule="auto"/>
        <w:ind w:firstLine="508" w:firstLineChars="212"/>
        <w:rPr>
          <w:rFonts w:hint="eastAsia" w:ascii="宋体" w:hAnsi="宋体" w:eastAsia="宋体" w:cs="宋体"/>
          <w:highlight w:val="none"/>
        </w:rPr>
      </w:pPr>
      <w:r>
        <w:rPr>
          <w:rFonts w:hint="eastAsia" w:ascii="宋体" w:hAnsi="宋体" w:eastAsia="宋体" w:cs="宋体"/>
          <w:sz w:val="24"/>
          <w:szCs w:val="24"/>
          <w:highlight w:val="none"/>
        </w:rPr>
        <w:t>4、本合同未尽事宜，按《中华人民共和国民法典》有关规定处理。</w:t>
      </w:r>
    </w:p>
    <w:p w14:paraId="5B395076">
      <w:pPr>
        <w:numPr>
          <w:ilvl w:val="0"/>
          <w:numId w:val="0"/>
        </w:numPr>
        <w:spacing w:line="360" w:lineRule="auto"/>
        <w:ind w:left="0" w:leftChars="0" w:firstLine="0" w:firstLineChars="0"/>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bidi="ar-SA"/>
        </w:rPr>
        <w:t>二十、</w:t>
      </w:r>
      <w:r>
        <w:rPr>
          <w:rFonts w:hint="eastAsia" w:ascii="宋体" w:hAnsi="宋体" w:eastAsia="宋体" w:cs="宋体"/>
          <w:b/>
          <w:sz w:val="24"/>
          <w:szCs w:val="24"/>
          <w:highlight w:val="none"/>
        </w:rPr>
        <w:t>送达条款</w:t>
      </w:r>
    </w:p>
    <w:p w14:paraId="0F8E7E49">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甲方同意并确认以下地址作为本合同项下合同履行、争议解决等相关的法律文书的地址：</w:t>
      </w:r>
    </w:p>
    <w:p w14:paraId="6AC2767D">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送达地址： </w:t>
      </w:r>
    </w:p>
    <w:p w14:paraId="007039D2">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p w14:paraId="74ACF55A">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签收人及联系电话 : </w:t>
      </w:r>
    </w:p>
    <w:p w14:paraId="18D6CCB1">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乙方同意并确认以下地址作为本合同项下合同履行、争议解决等相关的法律文书的地址：</w:t>
      </w:r>
    </w:p>
    <w:p w14:paraId="63CB35C1">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送达地址：</w:t>
      </w:r>
    </w:p>
    <w:p w14:paraId="45C52E92">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p w14:paraId="4DA7A4C7">
      <w:pPr>
        <w:spacing w:line="360" w:lineRule="auto"/>
        <w:ind w:firstLine="508" w:firstLineChars="212"/>
        <w:rPr>
          <w:rFonts w:hint="eastAsia" w:ascii="宋体" w:hAnsi="宋体" w:eastAsia="宋体" w:cs="宋体"/>
          <w:sz w:val="24"/>
          <w:szCs w:val="24"/>
          <w:highlight w:val="none"/>
        </w:rPr>
      </w:pPr>
      <w:r>
        <w:rPr>
          <w:rFonts w:hint="eastAsia" w:ascii="宋体" w:hAnsi="宋体" w:eastAsia="宋体" w:cs="宋体"/>
          <w:sz w:val="24"/>
          <w:szCs w:val="24"/>
          <w:highlight w:val="none"/>
        </w:rPr>
        <w:t>签收人及联系电话：</w:t>
      </w:r>
    </w:p>
    <w:p w14:paraId="0A7870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F577AA"/>
    <w:multiLevelType w:val="multilevel"/>
    <w:tmpl w:val="2CF577AA"/>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5E5A274"/>
    <w:multiLevelType w:val="singleLevel"/>
    <w:tmpl w:val="35E5A274"/>
    <w:lvl w:ilvl="0" w:tentative="0">
      <w:start w:val="1"/>
      <w:numFmt w:val="chineseCounting"/>
      <w:suff w:val="space"/>
      <w:lvlText w:val="第%1章"/>
      <w:lvlJc w:val="left"/>
      <w:rPr>
        <w:rFonts w:hint="eastAsia"/>
      </w:rPr>
    </w:lvl>
  </w:abstractNum>
  <w:abstractNum w:abstractNumId="2">
    <w:nsid w:val="595B59B5"/>
    <w:multiLevelType w:val="singleLevel"/>
    <w:tmpl w:val="595B59B5"/>
    <w:lvl w:ilvl="0" w:tentative="0">
      <w:start w:val="1"/>
      <w:numFmt w:val="decimal"/>
      <w:suff w:val="space"/>
      <w:lvlText w:val="（%1）"/>
      <w:lvlJc w:val="left"/>
    </w:lvl>
  </w:abstractNum>
  <w:abstractNum w:abstractNumId="3">
    <w:nsid w:val="6F52369C"/>
    <w:multiLevelType w:val="singleLevel"/>
    <w:tmpl w:val="6F52369C"/>
    <w:lvl w:ilvl="0" w:tentative="0">
      <w:start w:val="3"/>
      <w:numFmt w:val="chineseCounting"/>
      <w:suff w:val="nothing"/>
      <w:lvlText w:val="%1、"/>
      <w:lvlJc w:val="left"/>
      <w:pPr>
        <w:ind w:left="0" w:firstLine="420"/>
      </w:pPr>
      <w:rPr>
        <w:rFonts w:hint="eastAsia"/>
      </w:rPr>
    </w:lvl>
  </w:abstractNum>
  <w:abstractNum w:abstractNumId="4">
    <w:nsid w:val="74B7F2A8"/>
    <w:multiLevelType w:val="singleLevel"/>
    <w:tmpl w:val="74B7F2A8"/>
    <w:lvl w:ilvl="0" w:tentative="0">
      <w:start w:val="1"/>
      <w:numFmt w:val="chineseCounting"/>
      <w:suff w:val="nothing"/>
      <w:lvlText w:val="%1、"/>
      <w:lvlJc w:val="left"/>
      <w:pPr>
        <w:ind w:left="0" w:firstLine="420"/>
      </w:pPr>
      <w:rPr>
        <w:rFonts w:hint="eastAsia"/>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1E0288"/>
    <w:rsid w:val="241E0288"/>
    <w:rsid w:val="6D424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幼圆"/>
      <w:b/>
      <w:kern w:val="44"/>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4">
    <w:name w:val="Plain Text"/>
    <w:basedOn w:val="1"/>
    <w:qFormat/>
    <w:uiPriority w:val="99"/>
    <w:rPr>
      <w:rFonts w:ascii="宋体" w:hAnsi="Courier New"/>
    </w:rPr>
  </w:style>
  <w:style w:type="paragraph" w:styleId="5">
    <w:name w:val="Body Text Indent 3"/>
    <w:basedOn w:val="1"/>
    <w:qFormat/>
    <w:uiPriority w:val="0"/>
    <w:pPr>
      <w:spacing w:line="410" w:lineRule="exact"/>
      <w:ind w:left="619" w:leftChars="295" w:firstLine="390" w:firstLineChars="179"/>
    </w:pPr>
    <w:rPr>
      <w:rFonts w:hAnsi="宋体"/>
      <w:spacing w:val="4"/>
      <w:kern w:val="2"/>
      <w:sz w:val="21"/>
    </w:rPr>
  </w:style>
  <w:style w:type="paragraph" w:customStyle="1" w:styleId="8">
    <w:name w:val="列表段落1"/>
    <w:basedOn w:val="1"/>
    <w:qFormat/>
    <w:uiPriority w:val="34"/>
    <w:pPr>
      <w:ind w:firstLine="420" w:firstLineChars="200"/>
    </w:pPr>
  </w:style>
  <w:style w:type="paragraph" w:customStyle="1" w:styleId="9">
    <w:name w:val="04-正文"/>
    <w:basedOn w:val="1"/>
    <w:qFormat/>
    <w:uiPriority w:val="0"/>
    <w:pPr>
      <w:spacing w:line="300" w:lineRule="auto"/>
      <w:ind w:firstLine="482"/>
    </w:pPr>
    <w:rPr>
      <w:rFonts w:ascii="Calibri" w:hAnsi="Calibri"/>
      <w:bCs/>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5127</Words>
  <Characters>5169</Characters>
  <Lines>0</Lines>
  <Paragraphs>0</Paragraphs>
  <TotalTime>0</TotalTime>
  <ScaleCrop>false</ScaleCrop>
  <LinksUpToDate>false</LinksUpToDate>
  <CharactersWithSpaces>5407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2025-06-20T06:23:00Z</dcterms:created>
  <dc:creator>八点半…</dc:creator>
  <cp:lastModifiedBy>八点半…</cp:lastModifiedBy>
  <dcterms:modified xsi:type="dcterms:W3CDTF">2025-06-23T02:40:11Z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30FC1AD3A1D44232ABF3D480EBFC5368_13</vt:lpwstr>
  </property>
  <property fmtid="{D5CDD505-2E9C-101B-9397-08002B2CF9AE}" pid="4" name="KSOTemplateDocerSaveRecord">
    <vt:lpwstr>eyJoZGlkIjoiN2E0YTNhZmJmNDc5YzAwMmRiNTE4ZjljMjU5Njg3YzMiLCJ1c2VySWQiOiIyMzI5NDA5MjQifQ==</vt:lpwstr>
  </property>
</Properties>
</file>