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版本号：HYZB20250027.20250627003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2024年义务教育薄弱环节改善与能力提升（铁路小学、铁炉初级中学）建设项目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HYZB20250027.</w:t>
      </w:r>
      <w:r>
        <w:br/>
      </w:r>
      <w:r>
        <w:br/>
      </w:r>
      <w:r>
        <w:br/>
      </w:r>
    </w:p>
    <w:p>
      <w:pPr>
        <w:pStyle w:val="null3"/>
        <w:jc w:val="center"/>
        <w:outlineLvl w:val="2"/>
      </w:pPr>
      <w:r>
        <w:rPr>
          <w:rFonts w:ascii="仿宋_GB2312" w:hAnsi="仿宋_GB2312" w:cs="仿宋_GB2312" w:eastAsia="仿宋_GB2312"/>
          <w:sz w:val="28"/>
          <w:b/>
        </w:rPr>
        <w:t>西安市临潼区教育局</w:t>
      </w:r>
    </w:p>
    <w:p>
      <w:pPr>
        <w:pStyle w:val="null3"/>
        <w:jc w:val="center"/>
        <w:outlineLvl w:val="2"/>
      </w:pPr>
      <w:r>
        <w:rPr>
          <w:rFonts w:ascii="仿宋_GB2312" w:hAnsi="仿宋_GB2312" w:cs="仿宋_GB2312" w:eastAsia="仿宋_GB2312"/>
          <w:sz w:val="28"/>
          <w:b/>
        </w:rPr>
        <w:t>陕西华洋项目管理有限公司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西安市临潼区教育局</w:t>
      </w:r>
      <w:r>
        <w:rPr>
          <w:rFonts w:ascii="仿宋_GB2312" w:hAnsi="仿宋_GB2312" w:cs="仿宋_GB2312" w:eastAsia="仿宋_GB2312"/>
        </w:rPr>
        <w:t>委托，拟对</w:t>
      </w:r>
      <w:r>
        <w:rPr>
          <w:rFonts w:ascii="仿宋_GB2312" w:hAnsi="仿宋_GB2312" w:cs="仿宋_GB2312" w:eastAsia="仿宋_GB2312"/>
        </w:rPr>
        <w:t>2024年义务教育薄弱环节改善与能力提升（铁路小学、铁炉初级中学）建设项目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HYZB20250027.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2024年义务教育薄弱环节改善与能力提升（铁路小学、铁炉初级中学）建设项目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铁路小学操场及铁炉初中学术报告厅建设项目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采购包1（临潼区铁路小学运动场地建设工程）：属于专门面向中小企业采购。</w:t>
      </w:r>
    </w:p>
    <w:p>
      <w:pPr>
        <w:pStyle w:val="null3"/>
      </w:pPr>
      <w:r>
        <w:rPr>
          <w:rFonts w:ascii="仿宋_GB2312" w:hAnsi="仿宋_GB2312" w:cs="仿宋_GB2312" w:eastAsia="仿宋_GB2312"/>
        </w:rPr>
        <w:t>采购包2（临潼区铁炉初级中学报告厅改造工程）：属于专门面向中小企业采购。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2、法人授权：提供法定代表人授权委托书及委托代理人有效身份证原件，法定代表人直接参加开标会议，需提供法定代表人身份证明及其有效的身份证原件；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报表：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5、社会保障资金缴纳证：提供投标截止时间前一年内至少一个月的社会保障资金缴存凭证或社保机构开具的社会保险参保缴费情况证明，依法不需要缴纳社会保障资金的单位应提供相关证明材料；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7、供应商资质：须具备建筑工程施工总承包二级及以上资质；具有有效的安全生产许可证；</w:t>
      </w:r>
    </w:p>
    <w:p>
      <w:pPr>
        <w:pStyle w:val="null3"/>
      </w:pPr>
      <w:r>
        <w:rPr>
          <w:rFonts w:ascii="仿宋_GB2312" w:hAnsi="仿宋_GB2312" w:cs="仿宋_GB2312" w:eastAsia="仿宋_GB2312"/>
        </w:rPr>
        <w:t>8、项目经理：拟派项目经理须具备建筑工程专业二级及以上注册建造师资格，具备有效的安全生产考核合格证（B证）；且无在建项目（提供无在建项目承诺书）；</w:t>
      </w:r>
    </w:p>
    <w:p>
      <w:pPr>
        <w:pStyle w:val="null3"/>
      </w:pPr>
      <w:r>
        <w:rPr>
          <w:rFonts w:ascii="仿宋_GB2312" w:hAnsi="仿宋_GB2312" w:cs="仿宋_GB2312" w:eastAsia="仿宋_GB2312"/>
        </w:rPr>
        <w:t>9、信用中国：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10、控股关系：单位负责人为同一人或者存在控股、管理关系的不同单位不得同时投标；</w:t>
      </w:r>
    </w:p>
    <w:p>
      <w:pPr>
        <w:pStyle w:val="null3"/>
      </w:pPr>
      <w:r>
        <w:rPr>
          <w:rFonts w:ascii="仿宋_GB2312" w:hAnsi="仿宋_GB2312" w:cs="仿宋_GB2312" w:eastAsia="仿宋_GB2312"/>
        </w:rPr>
        <w:t>11、非联合体投：本项目不接受联合体磋商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2、法人授权：提供法定代表人授权委托书及委托代理人有效身份证原件，法定代表人直接参加开标会议，需提供法定代表人身份证明及其有效的身份证原件；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报表：提供2024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rFonts w:ascii="仿宋_GB2312" w:hAnsi="仿宋_GB2312" w:cs="仿宋_GB2312" w:eastAsia="仿宋_GB2312"/>
        </w:rPr>
        <w:t>4、税收缴纳证明：提供投标截止时间前一年内至少一个月的纳税证明或完税证明；依法免税的单位应提供相关证明材料；</w:t>
      </w:r>
    </w:p>
    <w:p>
      <w:pPr>
        <w:pStyle w:val="null3"/>
      </w:pPr>
      <w:r>
        <w:rPr>
          <w:rFonts w:ascii="仿宋_GB2312" w:hAnsi="仿宋_GB2312" w:cs="仿宋_GB2312" w:eastAsia="仿宋_GB2312"/>
        </w:rPr>
        <w:t>5、社会保障资金缴纳证：提供投标截止时间前一年内至少一个月的社会保障资金缴存凭证或社保机构开具的社会保险参保缴费情况证明，依法不需要缴纳社会保障资金的单位应提供相关证明材料；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7、供应商资质：须具备建筑工程施工总承包二级及以上资质；具有有效的安全生产许可证；</w:t>
      </w:r>
    </w:p>
    <w:p>
      <w:pPr>
        <w:pStyle w:val="null3"/>
      </w:pPr>
      <w:r>
        <w:rPr>
          <w:rFonts w:ascii="仿宋_GB2312" w:hAnsi="仿宋_GB2312" w:cs="仿宋_GB2312" w:eastAsia="仿宋_GB2312"/>
        </w:rPr>
        <w:t>8、项目经理：拟派项目经理须具备建筑工程专业二级及以上注册建造师资格，具备有效的安全生产考核合格证（B证）；且无在建项目（提供无在建项目承诺书）；</w:t>
      </w:r>
    </w:p>
    <w:p>
      <w:pPr>
        <w:pStyle w:val="null3"/>
      </w:pPr>
      <w:r>
        <w:rPr>
          <w:rFonts w:ascii="仿宋_GB2312" w:hAnsi="仿宋_GB2312" w:cs="仿宋_GB2312" w:eastAsia="仿宋_GB2312"/>
        </w:rPr>
        <w:t>9、信用中国：供应商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rFonts w:ascii="仿宋_GB2312" w:hAnsi="仿宋_GB2312" w:cs="仿宋_GB2312" w:eastAsia="仿宋_GB2312"/>
        </w:rPr>
        <w:t>10、控股关系：单位负责人为同一人或者存在控股、管理关系的不同单位不得同时投标；</w:t>
      </w:r>
    </w:p>
    <w:p>
      <w:pPr>
        <w:pStyle w:val="null3"/>
      </w:pPr>
      <w:r>
        <w:rPr>
          <w:rFonts w:ascii="仿宋_GB2312" w:hAnsi="仿宋_GB2312" w:cs="仿宋_GB2312" w:eastAsia="仿宋_GB2312"/>
        </w:rPr>
        <w:t>11、非联合体投：本项目不接受联合体磋商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临潼区人民东路55号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029-83817125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陕西省西安市临潼区文化西路37号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029-83875110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采购包1：1,899,260.02元</w:t>
            </w:r>
          </w:p>
          <w:p>
            <w:pPr>
              <w:pStyle w:val="null3"/>
            </w:pPr>
            <w:r>
              <w:rPr>
                <w:rFonts w:ascii="仿宋_GB2312" w:hAnsi="仿宋_GB2312" w:cs="仿宋_GB2312" w:eastAsia="仿宋_GB2312"/>
              </w:rPr>
              <w:t>采购包2：1,200,739.98元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2002年颁发的《招标代理服务收费管理暂行办法》(计价格〔2002〕1980号)及国家发改委2011年颁布的《国家发展改革委关于降低部分建设项目收费标准规范收费行为等有关问题的通知》（发改价格[2011]534号向招标代理机构一次支付采购代理服务费； 2、工程量清单及招标控制价编制费:以对外发布的招标控制价金额作为计费收取基数，由招标代理机构按陕价行发【2014】88号取费标准收取工程量清单及招标控制价编制费。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西安市临潼区教育局</w:t>
      </w:r>
      <w:r>
        <w:rPr>
          <w:rFonts w:ascii="仿宋_GB2312" w:hAnsi="仿宋_GB2312" w:cs="仿宋_GB2312" w:eastAsia="仿宋_GB2312"/>
        </w:rPr>
        <w:t>和</w:t>
      </w:r>
      <w:r>
        <w:rPr>
          <w:rFonts w:ascii="仿宋_GB2312" w:hAnsi="仿宋_GB2312" w:cs="仿宋_GB2312" w:eastAsia="仿宋_GB2312"/>
        </w:rPr>
        <w:t>陕西华洋项目管理有限公司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符合国家及行业合格标准，达到本工程“合格”的质量要求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符合国家及行业合格标准，达到本工程“合格”的质量要求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联系电话：029-83875110</w:t>
      </w:r>
    </w:p>
    <w:p>
      <w:pPr>
        <w:pStyle w:val="null3"/>
      </w:pPr>
      <w:r>
        <w:rPr>
          <w:rFonts w:ascii="仿宋_GB2312" w:hAnsi="仿宋_GB2312" w:cs="仿宋_GB2312" w:eastAsia="仿宋_GB2312"/>
        </w:rPr>
        <w:t>地址： 陕西省西安市临潼区文化西路37号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1,899,260.02</w:t>
      </w:r>
    </w:p>
    <w:p>
      <w:pPr>
        <w:pStyle w:val="null3"/>
      </w:pPr>
      <w:r>
        <w:rPr>
          <w:rFonts w:ascii="仿宋_GB2312" w:hAnsi="仿宋_GB2312" w:cs="仿宋_GB2312" w:eastAsia="仿宋_GB2312"/>
        </w:rPr>
        <w:t>采购包最高限价（元）: 1,899,260.02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临潼区铁路小学运动场地建设工程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1,899,260.02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1,200,739.98</w:t>
      </w:r>
    </w:p>
    <w:p>
      <w:pPr>
        <w:pStyle w:val="null3"/>
      </w:pPr>
      <w:r>
        <w:rPr>
          <w:rFonts w:ascii="仿宋_GB2312" w:hAnsi="仿宋_GB2312" w:cs="仿宋_GB2312" w:eastAsia="仿宋_GB2312"/>
        </w:rPr>
        <w:t>采购包最高限价（元）: 1,200,739.98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临潼区铁炉初级中学报告厅改造工程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1,200,739.98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标的名称：临潼区铁路小学运动场地建设工程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rPr>
              <w:t>五、工程量清单（另附）。</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标的名称：临潼区铁炉初级中学报告厅改造工程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rPr>
              <w:t>五、工程量清单（另附）。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临潼区文化西路37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须具备建筑工程施工总承包二级及以上资质；具有有效的安全生产许可证；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w:t>
            </w:r>
          </w:p>
        </w:tc>
        <w:tc>
          <w:tcPr>
            <w:tcW w:type="dxa" w:w="3322"/>
          </w:tcPr>
          <w:p>
            <w:pPr>
              <w:pStyle w:val="null3"/>
            </w:pPr>
            <w:r>
              <w:rPr>
                <w:rFonts w:ascii="仿宋_GB2312" w:hAnsi="仿宋_GB2312" w:cs="仿宋_GB2312" w:eastAsia="仿宋_GB2312"/>
              </w:rPr>
              <w:t>提供2024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w:t>
            </w:r>
          </w:p>
        </w:tc>
        <w:tc>
          <w:tcPr>
            <w:tcW w:type="dxa" w:w="3322"/>
          </w:tcPr>
          <w:p>
            <w:pPr>
              <w:pStyle w:val="null3"/>
            </w:pPr>
            <w:r>
              <w:rPr>
                <w:rFonts w:ascii="仿宋_GB2312" w:hAnsi="仿宋_GB2312" w:cs="仿宋_GB2312" w:eastAsia="仿宋_GB2312"/>
              </w:rPr>
              <w:t>提供投标截止时间前一年内至少一个月的社会保障资金缴存凭证或社保机构开具的社会保险参保缴费情况证明，依法不需要缴纳社会保障资金的单位应提供相关证明材料；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须具备建筑工程施工总承包二级及以上资质；具有有效的安全生产许可证；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拟派项目经理须具备建筑工程专业二级及以上注册建造师资格，具备有效的安全生产考核合格证（B证）；且无在建项目（提供无在建项目承诺书）；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w:t>
            </w:r>
          </w:p>
        </w:tc>
        <w:tc>
          <w:tcPr>
            <w:tcW w:type="dxa" w:w="3322"/>
          </w:tcPr>
          <w:p>
            <w:pPr>
              <w:pStyle w:val="null3"/>
            </w:pPr>
            <w:r>
              <w:rPr>
                <w:rFonts w:ascii="仿宋_GB2312" w:hAnsi="仿宋_GB2312" w:cs="仿宋_GB2312" w:eastAsia="仿宋_GB2312"/>
              </w:rPr>
              <w:t>（1）投标文件项目名称、标段编号与磋商文件不一致，按无效文件处理； （2）供应商名称与营业执照、资质证书、安全生产许可证一致；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响应格式</w:t>
            </w:r>
          </w:p>
        </w:tc>
        <w:tc>
          <w:tcPr>
            <w:tcW w:type="dxa" w:w="3322"/>
          </w:tcPr>
          <w:p>
            <w:pPr>
              <w:pStyle w:val="null3"/>
            </w:pPr>
            <w:r>
              <w:rPr>
                <w:rFonts w:ascii="仿宋_GB2312" w:hAnsi="仿宋_GB2312" w:cs="仿宋_GB2312" w:eastAsia="仿宋_GB2312"/>
              </w:rPr>
              <w:t>符合“磋商文件格式”的要求；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投标文件无投标人公章、无法定代表人签字或签字人无法定代表人有效授权书的,按无效文件处理；</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完全理解并接受法律法规和磋商文件对供应商的各项须知、规约要求和责任义务，没有出现法律法规磋商文件明确规定的其他被视为“无效响应”的情形。</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w:t>
            </w:r>
          </w:p>
        </w:tc>
        <w:tc>
          <w:tcPr>
            <w:tcW w:type="dxa" w:w="3322"/>
          </w:tcPr>
          <w:p>
            <w:pPr>
              <w:pStyle w:val="null3"/>
            </w:pPr>
            <w:r>
              <w:rPr>
                <w:rFonts w:ascii="仿宋_GB2312" w:hAnsi="仿宋_GB2312" w:cs="仿宋_GB2312" w:eastAsia="仿宋_GB2312"/>
              </w:rPr>
              <w:t>（1）投标文件项目名称、标段编号与磋商文件不一致，按无效文件处理； （2）供应商名称与营业执照、资质证书、安全生产许可证一致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响应格式</w:t>
            </w:r>
          </w:p>
        </w:tc>
        <w:tc>
          <w:tcPr>
            <w:tcW w:type="dxa" w:w="3322"/>
          </w:tcPr>
          <w:p>
            <w:pPr>
              <w:pStyle w:val="null3"/>
            </w:pPr>
            <w:r>
              <w:rPr>
                <w:rFonts w:ascii="仿宋_GB2312" w:hAnsi="仿宋_GB2312" w:cs="仿宋_GB2312" w:eastAsia="仿宋_GB2312"/>
              </w:rPr>
              <w:t>符合“磋商文件格式”的要求；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投标文件无投标人公章、无法定代表人签字或签字人无法定代表人有效授权书的,按无效文件处理；</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（2）第一次磋商报价表填写符合要求; （3）报价货币符合磋商文件要求; （4）未超出采购预算或磋商文件规定的最高限价;</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完全理解并接受法律法规和磋商文件对供应商的各项须知、规约要求和责任义务，没有出现法律法规磋商文件明确规定的其他被视为“无效响应”的情形。</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方案总体思路清晰、合理、可操作性强、可执行程度强，且能很好推动项目实施得6～9（含）分； 方案总体思路基本明确、可行性、合理性高得3～6(含)分； 方案思路模糊、可行性、合理性一般得0～3(含)分；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人员搭配合理，数量充足，经验丰富，证明材料详尽计4～8（含）分；人员搭配较为合理，数量较充足，经验不足，证明材料不够详尽计0～4（含）分；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措施内容科学可行、有针对性且内容详细计4～8（含）分； 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安排合理、完整计4～8（含）分； 机械、设备安排简单计0～4（含）分；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进度表或网络图结构清晰、安排科学合理计2～3（含）分； 进度表或网络图结构基本清晰、安排合理计1～2（含）分，未提供不计分;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据供应商为保证工程质量所做的承诺及配套服务（包括但不限于具体的服务内容、响应时间、响应方式、响应计划、服务承诺等）进行综合比较；缺项得0分;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以合同的形式提供供应商自2022年6月01日至今的项目业绩，每提供一份计2分，计满6分为止（业绩证明材料以合同或中标通知书为准）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方案总体思路清晰、合理、可操作性强、可执行程度强，且能很好推动项目实施得6～9（含）分； 方案总体思路基本明确、可行性、合理性高得3～6(含)分； 方案思路模糊、可行性、合理性一般得0～3(含)分；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人员搭配合理，数量充足，经验丰富，证明材料详尽计4～8（含）分；人员搭配较为合理，数量较充足，经验不足，证明材料不够详尽计0～4（含）分；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措施内容科学可行、有针对性且内容详细计4～8（含）分； 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安排合理、完整计4～8（含）分； 机械、设备安排简单计0～4（含）分；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进度表或网络图结构清晰、安排科学合理计2～3（含）分； 进度表或网络图结构基本清晰、安排合理计1～2（含）分，未提供不计分;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据供应商为保证工程质量所做的承诺及配套服务（包括但不限于具体的服务内容、响应时间、响应方式、响应计划、服务承诺等）进行综合比较；缺项得0分;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以合同的形式提供供应商自2022年6月01日至今的项目业绩，每提供一份计2分，计满6分为止（业绩证明材料以合同或中标通知书为准）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