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版本号：ZXGJLTFGS-2025-00420250603001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相桥街办任家村道路硬化及污水管网建设项目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ZXGJLTFGS-2025-004</w:t>
      </w:r>
      <w:r>
        <w:br/>
      </w:r>
      <w:r>
        <w:br/>
      </w:r>
      <w:r>
        <w:br/>
      </w:r>
    </w:p>
    <w:p>
      <w:pPr>
        <w:pStyle w:val="null3"/>
        <w:jc w:val="center"/>
        <w:outlineLvl w:val="2"/>
      </w:pPr>
      <w:r>
        <w:rPr>
          <w:rFonts w:ascii="仿宋_GB2312" w:hAnsi="仿宋_GB2312" w:cs="仿宋_GB2312" w:eastAsia="仿宋_GB2312"/>
          <w:sz w:val="28"/>
          <w:b/>
        </w:rPr>
        <w:t>西安市临潼区相桥街道办事处</w:t>
      </w:r>
    </w:p>
    <w:p>
      <w:pPr>
        <w:pStyle w:val="null3"/>
        <w:jc w:val="center"/>
        <w:outlineLvl w:val="2"/>
      </w:pPr>
      <w:r>
        <w:rPr>
          <w:rFonts w:ascii="仿宋_GB2312" w:hAnsi="仿宋_GB2312" w:cs="仿宋_GB2312" w:eastAsia="仿宋_GB2312"/>
          <w:sz w:val="28"/>
          <w:b/>
        </w:rPr>
        <w:t>中昕国际项目管理有限公司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中昕国际项目管理有限公司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西安市临潼区相桥街道办事处</w:t>
      </w:r>
      <w:r>
        <w:rPr>
          <w:rFonts w:ascii="仿宋_GB2312" w:hAnsi="仿宋_GB2312" w:cs="仿宋_GB2312" w:eastAsia="仿宋_GB2312"/>
        </w:rPr>
        <w:t>委托，拟对</w:t>
      </w:r>
      <w:r>
        <w:rPr>
          <w:rFonts w:ascii="仿宋_GB2312" w:hAnsi="仿宋_GB2312" w:cs="仿宋_GB2312" w:eastAsia="仿宋_GB2312"/>
        </w:rPr>
        <w:t>相桥街办任家村道路硬化及污水管网建设项目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ZXGJLTFGS-2025-004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相桥街办任家村道路硬化及污水管网建设项目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相桥街办任家村道路硬化及污水管网建设项目，任家村主干道道路硬化7390.17平方米，污水排水管网1175.6米，检查井40个。</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采购包1（相桥街办任家村道路硬化及污水管网建设项目）：属于专门面向中小企业采购。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1、法定代表人授权书或身份证明：提供法定代表人授权书（附法定代表人、被授权人身份证复印件）（法定代表人直接参加磋商，须提供法定代表人身份证明）；非法人单位参照执行；</w:t>
      </w:r>
    </w:p>
    <w:p>
      <w:pPr>
        <w:pStyle w:val="null3"/>
      </w:pPr>
      <w:r>
        <w:rPr>
          <w:rFonts w:ascii="仿宋_GB2312" w:hAnsi="仿宋_GB2312" w:cs="仿宋_GB2312" w:eastAsia="仿宋_GB2312"/>
        </w:rPr>
        <w:t>2、供应商资质要求：供应商须具备建设行政主管部门颁发的市政公用工程施工总承包三级（含三级）以上资质，且具备有效的安全生产许可证；</w:t>
      </w:r>
    </w:p>
    <w:p>
      <w:pPr>
        <w:pStyle w:val="null3"/>
      </w:pPr>
      <w:r>
        <w:rPr>
          <w:rFonts w:ascii="仿宋_GB2312" w:hAnsi="仿宋_GB2312" w:cs="仿宋_GB2312" w:eastAsia="仿宋_GB2312"/>
        </w:rPr>
        <w:t>3、拟派项目经理资质要求：拟派项目经理具备市政公用工程二级及以上注册建造师证书和安全生产考核合格证（B证），且无在建工程（提供无在建工程承诺书）；</w:t>
      </w:r>
    </w:p>
    <w:p>
      <w:pPr>
        <w:pStyle w:val="null3"/>
      </w:pPr>
      <w:r>
        <w:rPr>
          <w:rFonts w:ascii="仿宋_GB2312" w:hAnsi="仿宋_GB2312" w:cs="仿宋_GB2312" w:eastAsia="仿宋_GB2312"/>
        </w:rPr>
        <w:t>4、供应商信用查询：供应商不得为“信用中国 (www.creditchina.gov.cn)”中列入失信被执行人和重大税收违法失信主体的供应商，不得为“中国政府采购网(www.ccgp.gov.cn)”政府采购严重违法失信行为记录名单中被财政部门禁止参加政府采购活动的供应商。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西安市临潼区相桥街道办事处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临潼区相桥街道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029- 83961218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中昕国际项目管理有限公司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西安经济技术开发区凤城十二路首创禧悦里25幢A座16层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高美娟、王超、王涛、李博飞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029-83938602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采购包1：1,970,000.00元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代理服务费收费标准：1、招标代理服务费分为招标代理费和造价咨询费，成交单位在领取成交通知书前一次性支付该费用。 （1）招标代理费金额以中标金额为基数参照国家计委颁发的《招标代理服务收费管理暂行办法》（计价格〔2002〕1980号）、国家发展改革委员会办公厅颁发的《关于招标代理服务收费有关问题的通知》（发改办价格〔2003〕 857号）、《国家发展改革委关于降低部分建设项目收费标准规范收费行为等有关问题的通知》（发改价格〔2011〕534号）的有关规定执行。 （2）造价咨询费以最高限价为基数参照《关于我省工程造价咨询服务收费标准有关问题的通知》陕价行发〔2014〕88号标准执行。 2、招标代理服务费账户 名称：中昕国际项目管理有限公司临潼分公司 开户行：中国工商银行股份有限公司西安临潼区支行 账号：3700029209200213959</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西安市临潼区相桥街道办事处</w:t>
      </w:r>
      <w:r>
        <w:rPr>
          <w:rFonts w:ascii="仿宋_GB2312" w:hAnsi="仿宋_GB2312" w:cs="仿宋_GB2312" w:eastAsia="仿宋_GB2312"/>
        </w:rPr>
        <w:t>和</w:t>
      </w:r>
      <w:r>
        <w:rPr>
          <w:rFonts w:ascii="仿宋_GB2312" w:hAnsi="仿宋_GB2312" w:cs="仿宋_GB2312" w:eastAsia="仿宋_GB2312"/>
        </w:rPr>
        <w:t>中昕国际项目管理有限公司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西安市临潼区相桥街道办事处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中昕国际项目管理有限公司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西安市临潼区相桥街道办事处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中昕国际项目管理有限公司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联系人：高美娟</w:t>
      </w:r>
    </w:p>
    <w:p>
      <w:pPr>
        <w:pStyle w:val="null3"/>
      </w:pPr>
      <w:r>
        <w:rPr>
          <w:rFonts w:ascii="仿宋_GB2312" w:hAnsi="仿宋_GB2312" w:cs="仿宋_GB2312" w:eastAsia="仿宋_GB2312"/>
        </w:rPr>
        <w:t>联系电话：029-83938602</w:t>
      </w:r>
    </w:p>
    <w:p>
      <w:pPr>
        <w:pStyle w:val="null3"/>
      </w:pPr>
      <w:r>
        <w:rPr>
          <w:rFonts w:ascii="仿宋_GB2312" w:hAnsi="仿宋_GB2312" w:cs="仿宋_GB2312" w:eastAsia="仿宋_GB2312"/>
        </w:rPr>
        <w:t>地址：西安市临潼区东关街与人民东路交叉口南100米建筑工程公司院内</w:t>
      </w:r>
    </w:p>
    <w:p>
      <w:pPr>
        <w:pStyle w:val="null3"/>
      </w:pPr>
      <w:r>
        <w:rPr>
          <w:rFonts w:ascii="仿宋_GB2312" w:hAnsi="仿宋_GB2312" w:cs="仿宋_GB2312" w:eastAsia="仿宋_GB2312"/>
        </w:rPr>
        <w:t>邮编：710600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1,970,000.00</w:t>
      </w:r>
    </w:p>
    <w:p>
      <w:pPr>
        <w:pStyle w:val="null3"/>
      </w:pPr>
      <w:r>
        <w:rPr>
          <w:rFonts w:ascii="仿宋_GB2312" w:hAnsi="仿宋_GB2312" w:cs="仿宋_GB2312" w:eastAsia="仿宋_GB2312"/>
        </w:rPr>
        <w:t>采购包最高限价（元）: 1,969,996.82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相桥街办任家村道路硬化及污水管网建设项目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1,970,000.00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标的名称：相桥街办任家村道路硬化及污水管网建设项目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75"/>
              <w:jc w:val="left"/>
            </w:pPr>
            <w:r>
              <w:rPr>
                <w:rFonts w:ascii="仿宋_GB2312" w:hAnsi="仿宋_GB2312" w:cs="仿宋_GB2312" w:eastAsia="仿宋_GB2312"/>
                <w:sz w:val="18"/>
              </w:rPr>
              <w:t>一</w:t>
            </w:r>
            <w:r>
              <w:rPr>
                <w:rFonts w:ascii="仿宋_GB2312" w:hAnsi="仿宋_GB2312" w:cs="仿宋_GB2312" w:eastAsia="仿宋_GB2312"/>
                <w:sz w:val="18"/>
              </w:rPr>
              <w:t>、项目概况</w:t>
            </w:r>
          </w:p>
          <w:p>
            <w:pPr>
              <w:pStyle w:val="null3"/>
              <w:spacing w:before="75" w:after="105"/>
              <w:jc w:val="left"/>
            </w:pPr>
            <w:r>
              <w:rPr>
                <w:rFonts w:ascii="仿宋_GB2312" w:hAnsi="仿宋_GB2312" w:cs="仿宋_GB2312" w:eastAsia="仿宋_GB2312"/>
                <w:sz w:val="18"/>
              </w:rPr>
              <w:t>相桥街办任家村道路硬化及污水管网建设项目，任家村主干道道路硬化</w:t>
            </w:r>
            <w:r>
              <w:rPr>
                <w:rFonts w:ascii="仿宋_GB2312" w:hAnsi="仿宋_GB2312" w:cs="仿宋_GB2312" w:eastAsia="仿宋_GB2312"/>
                <w:sz w:val="18"/>
              </w:rPr>
              <w:t>7390.17平方米，污水排水管网1175.6米，检查井40个。</w:t>
            </w:r>
          </w:p>
          <w:p>
            <w:pPr>
              <w:pStyle w:val="null3"/>
              <w:spacing w:before="75" w:after="105"/>
              <w:jc w:val="left"/>
            </w:pPr>
            <w:r>
              <w:rPr>
                <w:rFonts w:ascii="仿宋_GB2312" w:hAnsi="仿宋_GB2312" w:cs="仿宋_GB2312" w:eastAsia="仿宋_GB2312"/>
                <w:sz w:val="18"/>
              </w:rPr>
              <w:t>二</w:t>
            </w:r>
            <w:r>
              <w:rPr>
                <w:rFonts w:ascii="仿宋_GB2312" w:hAnsi="仿宋_GB2312" w:cs="仿宋_GB2312" w:eastAsia="仿宋_GB2312"/>
                <w:sz w:val="18"/>
              </w:rPr>
              <w:t>、工程地点：相桥街办任家村</w:t>
            </w:r>
          </w:p>
          <w:p>
            <w:pPr>
              <w:pStyle w:val="null3"/>
              <w:spacing w:before="75" w:after="105"/>
              <w:jc w:val="left"/>
            </w:pPr>
            <w:r>
              <w:rPr>
                <w:rFonts w:ascii="仿宋_GB2312" w:hAnsi="仿宋_GB2312" w:cs="仿宋_GB2312" w:eastAsia="仿宋_GB2312"/>
                <w:sz w:val="18"/>
              </w:rPr>
              <w:t>三、计划工期：自合同签订之日起</w:t>
            </w:r>
            <w:r>
              <w:rPr>
                <w:rFonts w:ascii="仿宋_GB2312" w:hAnsi="仿宋_GB2312" w:cs="仿宋_GB2312" w:eastAsia="仿宋_GB2312"/>
                <w:sz w:val="18"/>
              </w:rPr>
              <w:t>120个日历天。</w:t>
            </w:r>
          </w:p>
          <w:p>
            <w:pPr>
              <w:pStyle w:val="null3"/>
              <w:spacing w:before="75" w:after="105"/>
              <w:jc w:val="left"/>
            </w:pPr>
            <w:r>
              <w:rPr>
                <w:rFonts w:ascii="仿宋_GB2312" w:hAnsi="仿宋_GB2312" w:cs="仿宋_GB2312" w:eastAsia="仿宋_GB2312"/>
                <w:sz w:val="18"/>
              </w:rPr>
              <w:t>四、质保期：一年。</w:t>
            </w:r>
          </w:p>
          <w:p>
            <w:pPr>
              <w:pStyle w:val="null3"/>
              <w:spacing w:before="75" w:after="105"/>
              <w:jc w:val="left"/>
            </w:pPr>
            <w:r>
              <w:rPr>
                <w:rFonts w:ascii="仿宋_GB2312" w:hAnsi="仿宋_GB2312" w:cs="仿宋_GB2312" w:eastAsia="仿宋_GB2312"/>
                <w:sz w:val="18"/>
              </w:rPr>
              <w:t>五、质量验收标准或规范：符合国家现行有关施工质量验收规范</w:t>
            </w:r>
            <w:r>
              <w:rPr>
                <w:rFonts w:ascii="仿宋_GB2312" w:hAnsi="仿宋_GB2312" w:cs="仿宋_GB2312" w:eastAsia="仿宋_GB2312"/>
                <w:sz w:val="18"/>
              </w:rPr>
              <w:t>“合格”要求。</w:t>
            </w:r>
          </w:p>
          <w:p>
            <w:pPr>
              <w:pStyle w:val="null3"/>
              <w:spacing w:before="75" w:after="105"/>
              <w:jc w:val="left"/>
            </w:pPr>
            <w:r>
              <w:rPr>
                <w:rFonts w:ascii="仿宋_GB2312" w:hAnsi="仿宋_GB2312" w:cs="仿宋_GB2312" w:eastAsia="仿宋_GB2312"/>
                <w:sz w:val="18"/>
              </w:rPr>
              <w:t>六、施工要求</w:t>
            </w:r>
          </w:p>
          <w:p>
            <w:pPr>
              <w:pStyle w:val="null3"/>
              <w:spacing w:before="105" w:after="105"/>
              <w:jc w:val="both"/>
            </w:pPr>
            <w:r>
              <w:rPr>
                <w:rFonts w:ascii="仿宋_GB2312" w:hAnsi="仿宋_GB2312" w:cs="仿宋_GB2312" w:eastAsia="仿宋_GB2312"/>
                <w:sz w:val="18"/>
              </w:rPr>
              <w:t xml:space="preserve">  在施工期间，中标供应商必须注意人员安全，加强安全措施，并定期对施工人员进行安全教育，且施工人员必须持证上岗。</w:t>
            </w:r>
          </w:p>
          <w:p>
            <w:pPr>
              <w:pStyle w:val="null3"/>
              <w:spacing w:before="105" w:after="105"/>
              <w:jc w:val="both"/>
            </w:pPr>
            <w:r>
              <w:rPr>
                <w:rFonts w:ascii="仿宋_GB2312" w:hAnsi="仿宋_GB2312" w:cs="仿宋_GB2312" w:eastAsia="仿宋_GB2312"/>
                <w:sz w:val="18"/>
              </w:rPr>
              <w:t>七、工程量清单编制说明</w:t>
            </w:r>
          </w:p>
          <w:p>
            <w:pPr>
              <w:pStyle w:val="null3"/>
              <w:spacing w:before="105" w:after="105"/>
              <w:ind w:left="495" w:right="-1155"/>
              <w:jc w:val="left"/>
            </w:pPr>
            <w:r>
              <w:rPr>
                <w:rFonts w:ascii="仿宋_GB2312" w:hAnsi="仿宋_GB2312" w:cs="仿宋_GB2312" w:eastAsia="仿宋_GB2312"/>
                <w:sz w:val="18"/>
                <w:color w:val="333333"/>
              </w:rPr>
              <w:t>（</w:t>
            </w:r>
            <w:r>
              <w:rPr>
                <w:rFonts w:ascii="仿宋_GB2312" w:hAnsi="仿宋_GB2312" w:cs="仿宋_GB2312" w:eastAsia="仿宋_GB2312"/>
                <w:sz w:val="18"/>
                <w:color w:val="333333"/>
              </w:rPr>
              <w:t>1）编制依据</w:t>
            </w:r>
          </w:p>
          <w:p>
            <w:pPr>
              <w:pStyle w:val="null3"/>
              <w:spacing w:before="105" w:after="105"/>
              <w:ind w:left="495" w:right="-1155"/>
              <w:jc w:val="left"/>
            </w:pPr>
            <w:r>
              <w:rPr>
                <w:rFonts w:ascii="仿宋_GB2312" w:hAnsi="仿宋_GB2312" w:cs="仿宋_GB2312" w:eastAsia="仿宋_GB2312"/>
                <w:sz w:val="18"/>
                <w:color w:val="333333"/>
              </w:rPr>
              <w:t>1、国家标准及行业标准相关图集；</w:t>
            </w:r>
          </w:p>
          <w:p>
            <w:pPr>
              <w:pStyle w:val="null3"/>
              <w:spacing w:before="105" w:after="105"/>
              <w:ind w:left="495" w:right="-1155"/>
              <w:jc w:val="left"/>
            </w:pPr>
            <w:r>
              <w:rPr>
                <w:rFonts w:ascii="仿宋_GB2312" w:hAnsi="仿宋_GB2312" w:cs="仿宋_GB2312" w:eastAsia="仿宋_GB2312"/>
                <w:sz w:val="18"/>
                <w:color w:val="333333"/>
              </w:rPr>
              <w:t>2、该项目的设计施工图纸；</w:t>
            </w:r>
          </w:p>
          <w:p>
            <w:pPr>
              <w:pStyle w:val="null3"/>
              <w:spacing w:before="105" w:after="105"/>
              <w:ind w:left="495" w:right="-1155"/>
              <w:jc w:val="left"/>
            </w:pPr>
            <w:r>
              <w:rPr>
                <w:rFonts w:ascii="仿宋_GB2312" w:hAnsi="仿宋_GB2312" w:cs="仿宋_GB2312" w:eastAsia="仿宋_GB2312"/>
                <w:sz w:val="18"/>
                <w:color w:val="333333"/>
              </w:rPr>
              <w:t>3、材料价格选用《临潼区工程造价信息》2025 年 4月及现行市场调查价格计算；</w:t>
            </w:r>
          </w:p>
          <w:p>
            <w:pPr>
              <w:pStyle w:val="null3"/>
              <w:spacing w:before="105" w:after="105"/>
              <w:ind w:left="495" w:right="-1155"/>
              <w:jc w:val="left"/>
            </w:pPr>
            <w:r>
              <w:rPr>
                <w:rFonts w:ascii="仿宋_GB2312" w:hAnsi="仿宋_GB2312" w:cs="仿宋_GB2312" w:eastAsia="仿宋_GB2312"/>
                <w:sz w:val="18"/>
                <w:color w:val="333333"/>
              </w:rPr>
              <w:t>4、本工程采用现行</w:t>
            </w:r>
          </w:p>
          <w:p>
            <w:pPr>
              <w:pStyle w:val="null3"/>
              <w:spacing w:before="105" w:after="105"/>
              <w:ind w:left="495" w:right="-1155"/>
              <w:jc w:val="left"/>
            </w:pPr>
            <w:r>
              <w:rPr>
                <w:rFonts w:ascii="仿宋_GB2312" w:hAnsi="仿宋_GB2312" w:cs="仿宋_GB2312" w:eastAsia="仿宋_GB2312"/>
                <w:sz w:val="18"/>
                <w:color w:val="333333"/>
              </w:rPr>
              <w:t>《陕西省建设工程工程量清单计价规则（</w:t>
            </w:r>
            <w:r>
              <w:rPr>
                <w:rFonts w:ascii="仿宋_GB2312" w:hAnsi="仿宋_GB2312" w:cs="仿宋_GB2312" w:eastAsia="仿宋_GB2312"/>
                <w:sz w:val="18"/>
                <w:color w:val="333333"/>
              </w:rPr>
              <w:t>2009）》；</w:t>
            </w:r>
          </w:p>
          <w:p>
            <w:pPr>
              <w:pStyle w:val="null3"/>
              <w:spacing w:before="105" w:after="105"/>
              <w:ind w:left="495" w:right="-1155"/>
              <w:jc w:val="left"/>
            </w:pPr>
            <w:r>
              <w:rPr>
                <w:rFonts w:ascii="仿宋_GB2312" w:hAnsi="仿宋_GB2312" w:cs="仿宋_GB2312" w:eastAsia="仿宋_GB2312"/>
                <w:sz w:val="18"/>
                <w:color w:val="333333"/>
              </w:rPr>
              <w:t>《陕西省市政工程价目表（</w:t>
            </w:r>
            <w:r>
              <w:rPr>
                <w:rFonts w:ascii="仿宋_GB2312" w:hAnsi="仿宋_GB2312" w:cs="仿宋_GB2312" w:eastAsia="仿宋_GB2312"/>
                <w:sz w:val="18"/>
                <w:color w:val="333333"/>
              </w:rPr>
              <w:t>2009）》；</w:t>
            </w:r>
          </w:p>
          <w:p>
            <w:pPr>
              <w:pStyle w:val="null3"/>
              <w:spacing w:before="105" w:after="105"/>
              <w:ind w:left="495" w:right="-1155"/>
              <w:jc w:val="left"/>
            </w:pPr>
            <w:r>
              <w:rPr>
                <w:rFonts w:ascii="仿宋_GB2312" w:hAnsi="仿宋_GB2312" w:cs="仿宋_GB2312" w:eastAsia="仿宋_GB2312"/>
                <w:sz w:val="18"/>
                <w:color w:val="333333"/>
              </w:rPr>
              <w:t>5、税金执行陕建发【2019】45号文件；</w:t>
            </w:r>
          </w:p>
          <w:p>
            <w:pPr>
              <w:pStyle w:val="null3"/>
              <w:spacing w:before="105" w:after="105"/>
              <w:ind w:left="495" w:right="-1155"/>
              <w:jc w:val="left"/>
            </w:pPr>
            <w:r>
              <w:rPr>
                <w:rFonts w:ascii="仿宋_GB2312" w:hAnsi="仿宋_GB2312" w:cs="仿宋_GB2312" w:eastAsia="仿宋_GB2312"/>
                <w:sz w:val="18"/>
                <w:color w:val="333333"/>
              </w:rPr>
              <w:t>6、人工费执行陕建发【2021】1097号文件；</w:t>
            </w:r>
          </w:p>
          <w:p>
            <w:pPr>
              <w:pStyle w:val="null3"/>
              <w:spacing w:before="105" w:after="105"/>
              <w:ind w:left="495" w:right="-1155"/>
              <w:jc w:val="left"/>
            </w:pPr>
            <w:r>
              <w:rPr>
                <w:rFonts w:ascii="仿宋_GB2312" w:hAnsi="仿宋_GB2312" w:cs="仿宋_GB2312" w:eastAsia="仿宋_GB2312"/>
                <w:sz w:val="18"/>
                <w:color w:val="333333"/>
              </w:rPr>
              <w:t>7、关于建筑施工安全生产责任保险费用计价执行陕建发【2020】1097号文件。</w:t>
            </w:r>
          </w:p>
          <w:p>
            <w:pPr>
              <w:pStyle w:val="null3"/>
              <w:spacing w:before="105" w:after="105"/>
              <w:ind w:left="495" w:right="-1155"/>
              <w:jc w:val="left"/>
            </w:pPr>
            <w:r>
              <w:rPr>
                <w:rFonts w:ascii="仿宋_GB2312" w:hAnsi="仿宋_GB2312" w:cs="仿宋_GB2312" w:eastAsia="仿宋_GB2312"/>
                <w:sz w:val="18"/>
                <w:color w:val="333333"/>
              </w:rPr>
              <w:t>8、编制软件：采用广联达云计价平台 GCCP6.0，内核版本： 6.4100.23.12。</w:t>
            </w:r>
          </w:p>
          <w:p>
            <w:pPr>
              <w:pStyle w:val="null3"/>
              <w:spacing w:before="105" w:after="105"/>
              <w:ind w:left="495" w:right="-1155"/>
              <w:jc w:val="left"/>
            </w:pPr>
            <w:r>
              <w:rPr>
                <w:rFonts w:ascii="仿宋_GB2312" w:hAnsi="仿宋_GB2312" w:cs="仿宋_GB2312" w:eastAsia="仿宋_GB2312"/>
                <w:sz w:val="18"/>
                <w:color w:val="333333"/>
              </w:rPr>
              <w:t>（</w:t>
            </w:r>
            <w:r>
              <w:rPr>
                <w:rFonts w:ascii="仿宋_GB2312" w:hAnsi="仿宋_GB2312" w:cs="仿宋_GB2312" w:eastAsia="仿宋_GB2312"/>
                <w:sz w:val="18"/>
                <w:color w:val="333333"/>
              </w:rPr>
              <w:t>2</w:t>
            </w:r>
            <w:r>
              <w:rPr>
                <w:rFonts w:ascii="仿宋_GB2312" w:hAnsi="仿宋_GB2312" w:cs="仿宋_GB2312" w:eastAsia="仿宋_GB2312"/>
                <w:sz w:val="18"/>
                <w:color w:val="333333"/>
              </w:rPr>
              <w:t>）</w:t>
            </w:r>
            <w:r>
              <w:rPr>
                <w:rFonts w:ascii="仿宋_GB2312" w:hAnsi="仿宋_GB2312" w:cs="仿宋_GB2312" w:eastAsia="仿宋_GB2312"/>
                <w:sz w:val="18"/>
                <w:b/>
                <w:color w:val="000000"/>
              </w:rPr>
              <w:t>工程量清单另附</w:t>
            </w:r>
          </w:p>
          <w:p>
            <w:pPr>
              <w:pStyle w:val="null3"/>
              <w:ind w:left="495" w:right="-1155"/>
              <w:jc w:val="left"/>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满足磋商文件、图纸及工程量清单施工要求。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本项目属性：工程类。 本项目采购标的所属行业为：建筑业。（按照《工信部 国家统计局 发改委 财政部 工信部联企业》中小企业划型标准（〔2011〕300号）规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有效的主体资格证明：提供合格有效的法人或者其他组织的营业执照等证明文件，自然人的身份证明；供应商是法人或其他组织的应提供营业执照等证明文件，供应商是自然人的应提供有效的自然人身份证明； （2）税收缴纳证明：提供自2024年05月01日至磋商截止日已缴纳的任意一个月的纳税证明或完税证明，依法免税的单位应提供相关证明材料； （3）社会保障资金缴纳证明：提供自2024年05月01日至磋商截止日已缴存的任意一个月的社会保障资金缴存单据或社保机构开具的社会保险参保缴费情况证明，依法不需要缴纳社会保障资金的单位应提供相关证明材料； （4）提供具有履行本合同所必需的设备和专业技术能力的承诺； （5）参加政府采购活动前3年内，在经营活动中没有重大违法记录的书面声明；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2023年度或2024年度具有财务审计资质的单位出具的财务报告（成立时间至开标时间不足一年的可提供成立后任意时段的资产负债表）或开标前六个月内基本存款账户开户银行出具的资信证明（附开户许可证或基本存款账户信息）或信用担保机构出具的投标担保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（1）单位负责人为同一人或者存在控股、管理关系的不同单位不得同时参加本次磋商。 （2）为本项目提供整体设计、规范编制或者项目管理、监理、检测等服务的供应商，不得再参加该采购项目的其他采购活动。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法定代表人授权书或身份证明</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提供法定代表人授权书（附法定代表人、被授权人身份证复印件）（法定代表人直接参加磋商，须提供法定代表人身份证明）；非法人单位参照执行；</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供应商须具备建设行政主管部门颁发的市政公用工程施工总承包三级（含三级）以上资质，且具备有效的安全生产许可证；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拟派项目经理资质要求</w:t>
            </w:r>
          </w:p>
        </w:tc>
        <w:tc>
          <w:tcPr>
            <w:tcW w:type="dxa" w:w="3322"/>
          </w:tcPr>
          <w:p>
            <w:pPr>
              <w:pStyle w:val="null3"/>
            </w:pPr>
            <w:r>
              <w:rPr>
                <w:rFonts w:ascii="仿宋_GB2312" w:hAnsi="仿宋_GB2312" w:cs="仿宋_GB2312" w:eastAsia="仿宋_GB2312"/>
              </w:rPr>
              <w:t>拟派项目经理具备市政公用工程二级及以上注册建造师证书和安全生产考核合格证（B证），且无在建工程（提供无在建工程承诺书）；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供应商信用查询</w:t>
            </w:r>
          </w:p>
        </w:tc>
        <w:tc>
          <w:tcPr>
            <w:tcW w:type="dxa" w:w="3322"/>
          </w:tcPr>
          <w:p>
            <w:pPr>
              <w:pStyle w:val="null3"/>
            </w:pPr>
            <w:r>
              <w:rPr>
                <w:rFonts w:ascii="仿宋_GB2312" w:hAnsi="仿宋_GB2312" w:cs="仿宋_GB2312" w:eastAsia="仿宋_GB2312"/>
              </w:rPr>
              <w:t>供应商不得为“信用中国 (www.creditchina.gov.cn)”中列入失信被执行人和重大税收违法失信主体的供应商，不得为“中国政府采购网(www.ccgp.gov.cn)”政府采购严重违法失信行为记录名单中被财政部门禁止参加政府采购活动的供应商。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（1）响应文件的签署盖章：与所投项目名称、项目编号一致，且符合磋商文件签署盖章要求。 （2）响应文件格式：符合“响应文件格式”的规定 （3）报价唯一：只能有一个有效报价，不得提交选择性报价，且报价不超过招标文件规定的采购预算金额或最高限价</w:t>
            </w:r>
          </w:p>
        </w:tc>
        <w:tc>
          <w:tcPr>
            <w:tcW w:type="dxa" w:w="1661"/>
          </w:tcPr>
          <w:p>
            <w:pPr>
              <w:pStyle w:val="null3"/>
            </w:pPr>
            <w:r>
              <w:rPr>
                <w:rFonts w:ascii="仿宋_GB2312" w:hAnsi="仿宋_GB2312" w:cs="仿宋_GB2312" w:eastAsia="仿宋_GB2312"/>
              </w:rPr>
              <w:t>响应文件封面 已标价工程量清单 技术服务合同条款及其他商务要求应答表.docx 中小企业声明函 残疾人福利性单位声明函 报价函 标的清单 供应商拒绝政府采购领域商业贿赂承诺书.docx 响应函 施工组织设计.docx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工期、磋商有效期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响应文件封面 报价函 响应函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工程质量、质保期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响应文件封面 技术服务合同条款及其他商务要求应答表.docx 响应函 施工组织设计.docx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项目实施方案（10分） （包括施工准备，施工方法，施工安排等） A.实施方案非常详细并且完整可行、有针对性，完全满足项目实施的得10分； B.实施方案详细、完整，可行、有针对性，满足项目实施的得8分； C.实施方案比较详细完整、可行，较利于项目实施的得5分； D.实施方案基本可行，基本满足项目实施需要的得2分; E.未提供得0分。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安全作业管理</w:t>
            </w:r>
          </w:p>
        </w:tc>
        <w:tc>
          <w:tcPr>
            <w:tcW w:type="dxa" w:w="2492"/>
          </w:tcPr>
          <w:p>
            <w:pPr>
              <w:pStyle w:val="null3"/>
            </w:pPr>
            <w:r>
              <w:rPr>
                <w:rFonts w:ascii="仿宋_GB2312" w:hAnsi="仿宋_GB2312" w:cs="仿宋_GB2312" w:eastAsia="仿宋_GB2312"/>
              </w:rPr>
              <w:t>安全作业管理（10分） 针对本项目提供的安全作业方案及安全配套措施进行综合评审。 A.提供的安全作业方案及安全配套措施具体、详细，完全符合并优于采购人安全作业的要求，得10分； B.提供安全作业方案及安全配套措施较详细、较完整，符合采购人安全作业的要求，得8分； C.提供安全作业方案及安全配套措施基本合理可行，符合采购人安全作业的要求，得5分； D.提供的安全作业方案及安全配套措施简单，基本符合采购人安全作业的要求，得2分； E.未提供得0分。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文明施工措施计划</w:t>
            </w:r>
          </w:p>
        </w:tc>
        <w:tc>
          <w:tcPr>
            <w:tcW w:type="dxa" w:w="2492"/>
          </w:tcPr>
          <w:p>
            <w:pPr>
              <w:pStyle w:val="null3"/>
            </w:pPr>
            <w:r>
              <w:rPr>
                <w:rFonts w:ascii="仿宋_GB2312" w:hAnsi="仿宋_GB2312" w:cs="仿宋_GB2312" w:eastAsia="仿宋_GB2312"/>
              </w:rPr>
              <w:t>文明施工措施计划（10分） 针对本项目提供的文明施工措施（含治污减霾）计划进行综合评审。 A.措施计划齐全、合理且切实可行，完全满足采购人需求得10分； B.措施计划较齐全、合理、切实可行，满足采购人需求得8分； C.措施计划较齐全、合理、基本可行，基本满足采购人需求得5分； D.措施计划基本完备齐全、合理性、可行性较差，得2分； E.未提供得0分。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技术组织措施</w:t>
            </w:r>
          </w:p>
        </w:tc>
        <w:tc>
          <w:tcPr>
            <w:tcW w:type="dxa" w:w="2492"/>
          </w:tcPr>
          <w:p>
            <w:pPr>
              <w:pStyle w:val="null3"/>
            </w:pPr>
            <w:r>
              <w:rPr>
                <w:rFonts w:ascii="仿宋_GB2312" w:hAnsi="仿宋_GB2312" w:cs="仿宋_GB2312" w:eastAsia="仿宋_GB2312"/>
              </w:rPr>
              <w:t>技术组织措施（10分） 根据供应商制定的确保工程质量及工期的技术组织措施进行综合评审。 A.措施计划齐全、合理且切实可行，完全满足采购人需求得10分； B.措施计划较齐全、合理、切实可行，满足采购人需求得8分； C.措施计划较齐全、合理、基本可行，基本满足采购人需求得5分； D.措施计划基本完备齐全、合理性、可行性较差，得2分； E.未提供得0分。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项目组织管理机构</w:t>
            </w:r>
          </w:p>
        </w:tc>
        <w:tc>
          <w:tcPr>
            <w:tcW w:type="dxa" w:w="2492"/>
          </w:tcPr>
          <w:p>
            <w:pPr>
              <w:pStyle w:val="null3"/>
            </w:pPr>
            <w:r>
              <w:rPr>
                <w:rFonts w:ascii="仿宋_GB2312" w:hAnsi="仿宋_GB2312" w:cs="仿宋_GB2312" w:eastAsia="仿宋_GB2312"/>
              </w:rPr>
              <w:t>项目组织管理机构（10分） 针对本项目的项目组织管理机构配备。 A.机构设置合理，人员配备齐全，技术经验丰富，完全满足项目需求得10分； B.机构设置合理，人员配备齐全，技术经验丰富，满足项目需求得8分； C.机构设置合理，人员配备、技术经验一般，较为可行的得5分； D.机构设置、人员配备、技术经验较差，得2分； E.未提供得0分。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施工机械配备和材料投入计划（10分） 根据供应商投入的施工机械配备和材料投入计划等进行评审。 A.施工机械配备合理全面，完全项目需求得10分； B.施工机械配备合理和材料环保性较好，得8分； C.施工机械配备和材料投入计划基本合理、可行，得5分； D.施工机械配备和材料投入计划较差，得2分； E.未提供得0分。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劳动力安排计划及劳务分包情况</w:t>
            </w:r>
          </w:p>
        </w:tc>
        <w:tc>
          <w:tcPr>
            <w:tcW w:type="dxa" w:w="2492"/>
          </w:tcPr>
          <w:p>
            <w:pPr>
              <w:pStyle w:val="null3"/>
            </w:pPr>
            <w:r>
              <w:rPr>
                <w:rFonts w:ascii="仿宋_GB2312" w:hAnsi="仿宋_GB2312" w:cs="仿宋_GB2312" w:eastAsia="仿宋_GB2312"/>
              </w:rPr>
              <w:t>劳动力安排计划及劳务分包情况（5分） 供应商就本项目劳动力安排计划及劳务分包情况表，根据合理、可行程度进行评审。 A.劳动力安排计划及劳务分包合理、可行，得5分； B.劳动力安排计划及劳务分包基本可行，得3分； C.劳动力安排计划及劳务分包可行性较差，得2分； D.未提供得0分。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业绩：供应商2022年1月至截标时间前同类施工项目业绩；每提供1份计1分，最高得5分。业绩证明（以合同或中标通知书为准，须在磋商响应文件中附以上证明材料的扫描件加盖单位公章，弄虚作假者，取消其成交资格。</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2.满足磋商文件实质性要求且最终报价最低的供应商的价格为磋商基准价，其价格分为满分30分。 3.磋商报价得分=（磋商基准价/最终磋商报价）×30的公式计算得分。 4.磋商报价不完整的，不进入基准价的计算，本项得0分。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详见附件：供应商拒绝政府采购领域商业贿赂承诺书.docx</w:t>
      </w:r>
    </w:p>
    <w:p>
      <w:pPr>
        <w:pStyle w:val="null3"/>
        <w:ind w:firstLine="960"/>
      </w:pPr>
      <w:r>
        <w:rPr>
          <w:rFonts w:ascii="仿宋_GB2312" w:hAnsi="仿宋_GB2312" w:cs="仿宋_GB2312" w:eastAsia="仿宋_GB2312"/>
        </w:rPr>
        <w:t>详见附件：技术服务合同条款及其他商务要求应答表.docx</w:t>
      </w:r>
    </w:p>
    <w:p>
      <w:pPr>
        <w:pStyle w:val="null3"/>
        <w:ind w:firstLine="960"/>
      </w:pPr>
      <w:r>
        <w:rPr>
          <w:rFonts w:ascii="仿宋_GB2312" w:hAnsi="仿宋_GB2312" w:cs="仿宋_GB2312" w:eastAsia="仿宋_GB2312"/>
        </w:rPr>
        <w:t>详见附件：施工组织设计.docx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详见附件：合同条款及格式（参考）.docx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