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版本号：ZB2025-ZB013（CGP）20250609002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西安市临潼区2025年小麦“一喷三防”应急药剂采购项目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ZB2025-ZB013（CGP）</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西安梓搏咨询管理有限公司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西安市临潼区2025年小麦“一喷三防”应急药剂采购项目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ZB2025-ZB013（CGP）</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西安市临潼区2025年小麦“一喷三防”应急药剂采购项目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综合我区小麦病虫害发生情况、灾害危害程度，采购一批以防治小麦赤霉病为主的应急杀菌剂，组织引导种粮主体和群众适时对病虫害重发田、常发田开展“一喷三防”工作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采购包1（西安市临潼区2025年小麦“一喷三防”应急药剂采购项目）：属于专门面向中小企业采购。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1、营业执照：供应商应是合法注册的法人或其他组织,并出具营业执照</w:t>
      </w:r>
    </w:p>
    <w:p>
      <w:pPr>
        <w:pStyle w:val="null3"/>
      </w:pPr>
      <w:r>
        <w:rPr>
          <w:rFonts w:ascii="仿宋_GB2312" w:hAnsi="仿宋_GB2312" w:cs="仿宋_GB2312" w:eastAsia="仿宋_GB2312"/>
        </w:rPr>
        <w:t>2、资格要求：农药产品的供应商为生产厂家的，须提供“三证”（分别是《农药登记证》、《农药生产许可证》和《农药标准证》），供应商为经销商的还须同时提供《农药经营许可证》</w:t>
      </w:r>
    </w:p>
    <w:p>
      <w:pPr>
        <w:pStyle w:val="null3"/>
      </w:pPr>
      <w:r>
        <w:rPr>
          <w:rFonts w:ascii="仿宋_GB2312" w:hAnsi="仿宋_GB2312" w:cs="仿宋_GB2312" w:eastAsia="仿宋_GB2312"/>
        </w:rPr>
        <w:t>3、法人代表证明或法人授权委托书：法人代表证明或法人授权委托书，后附法人及被委托人身份证（法定代表人直接参加投标的只需提供法定代表人身份证）</w:t>
      </w:r>
    </w:p>
    <w:p>
      <w:pPr>
        <w:pStyle w:val="null3"/>
      </w:pPr>
      <w:r>
        <w:rPr>
          <w:rFonts w:ascii="仿宋_GB2312" w:hAnsi="仿宋_GB2312" w:cs="仿宋_GB2312" w:eastAsia="仿宋_GB2312"/>
        </w:rPr>
        <w:t>4、财务状况报告：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5、税收缴纳证明：提供投标截止时间前6个月内任意一个月的纳税证明或完税证明（以税款所属期为准，依法免税的应提供相关证明材料）</w:t>
      </w:r>
    </w:p>
    <w:p>
      <w:pPr>
        <w:pStyle w:val="null3"/>
      </w:pPr>
      <w:r>
        <w:rPr>
          <w:rFonts w:ascii="仿宋_GB2312" w:hAnsi="仿宋_GB2312" w:cs="仿宋_GB2312" w:eastAsia="仿宋_GB2312"/>
        </w:rPr>
        <w:t>6、社会保障资金缴纳证明：提供投标截止时间前6个月内任意一个月的社保缴费凭据或社保机构开具的社会保险参保缴费情况证明（以税款所属期为准，依法不需要缴纳社会保障资金的应提供相关证明材料）</w:t>
      </w:r>
    </w:p>
    <w:p>
      <w:pPr>
        <w:pStyle w:val="null3"/>
      </w:pPr>
      <w:r>
        <w:rPr>
          <w:rFonts w:ascii="仿宋_GB2312" w:hAnsi="仿宋_GB2312" w:cs="仿宋_GB2312" w:eastAsia="仿宋_GB2312"/>
        </w:rPr>
        <w:t>7、无重大违法记录的声明：参加政府采购活动前三年内，在经营活动中没有重大违法记录的声明</w:t>
      </w:r>
    </w:p>
    <w:p>
      <w:pPr>
        <w:pStyle w:val="null3"/>
      </w:pPr>
      <w:r>
        <w:rPr>
          <w:rFonts w:ascii="仿宋_GB2312" w:hAnsi="仿宋_GB2312" w:cs="仿宋_GB2312" w:eastAsia="仿宋_GB2312"/>
        </w:rPr>
        <w:t>8、履行合同所必需的书面声明：履行合同所必需的设备和专业技术能力的书面声明</w:t>
      </w:r>
    </w:p>
    <w:p>
      <w:pPr>
        <w:pStyle w:val="null3"/>
      </w:pPr>
      <w:r>
        <w:rPr>
          <w:rFonts w:ascii="仿宋_GB2312" w:hAnsi="仿宋_GB2312" w:cs="仿宋_GB2312" w:eastAsia="仿宋_GB2312"/>
        </w:rPr>
        <w:t>9、控股情况说明：单位负责人为同一人或者存在直接控股、管理关系的不同供应商，不得参加同一合同项下的投标活动</w:t>
      </w:r>
    </w:p>
    <w:p>
      <w:pPr>
        <w:pStyle w:val="null3"/>
      </w:pPr>
      <w:r>
        <w:rPr>
          <w:rFonts w:ascii="仿宋_GB2312" w:hAnsi="仿宋_GB2312" w:cs="仿宋_GB2312" w:eastAsia="仿宋_GB2312"/>
        </w:rPr>
        <w:t>10、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p>
      <w:pPr>
        <w:pStyle w:val="null3"/>
      </w:pPr>
      <w:r>
        <w:rPr>
          <w:rFonts w:ascii="仿宋_GB2312" w:hAnsi="仿宋_GB2312" w:cs="仿宋_GB2312" w:eastAsia="仿宋_GB2312"/>
        </w:rPr>
        <w:t>11、落实政府采购政策需满足的资格要求：本项目为专门面向中小企业项目，供应商应为中型企业或小型、微型企业或监狱企业或残疾人福利性单位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12、非联合体投标声明：本项目不接受联合体投标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刘万喜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18991358235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马瑾瑜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029-83967328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代理服务费收费标准：参照国家发改委文件计价格〔2002〕1980号及发改价格〔2011〕534号规定标准收取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符合采购人要求，并达到质量合格标准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联系人：马瑾瑜</w:t>
      </w:r>
    </w:p>
    <w:p>
      <w:pPr>
        <w:pStyle w:val="null3"/>
      </w:pPr>
      <w:r>
        <w:rPr>
          <w:rFonts w:ascii="仿宋_GB2312" w:hAnsi="仿宋_GB2312" w:cs="仿宋_GB2312" w:eastAsia="仿宋_GB2312"/>
        </w:rPr>
        <w:t>联系电话：029-83967328</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综合我区小麦病虫害发生情况、灾害危害程度，采购一批以防治小麦赤霉病为主的应急杀菌剂，组织引导种粮主体和群众适时对病虫害重发田、常发田开展“一喷三防”工作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西安市临潼区2025年小麦“一喷三防”应急药剂采购项目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标的名称：西安市临潼区2025年小麦“一喷三防”应急药剂采购项目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color w:val="000000"/>
              </w:rPr>
              <w:t>采购面积与数量：</w:t>
            </w:r>
            <w:r>
              <w:rPr>
                <w:rFonts w:ascii="仿宋_GB2312" w:hAnsi="仿宋_GB2312" w:cs="仿宋_GB2312" w:eastAsia="仿宋_GB2312"/>
                <w:sz w:val="24"/>
                <w:color w:val="000000"/>
              </w:rPr>
              <w:t>10万亩，4000公斤。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1、质量标准：符合采购人要求，并达到质量合格标准。</w:t>
            </w:r>
          </w:p>
          <w:p>
            <w:pPr>
              <w:pStyle w:val="null3"/>
              <w:ind w:firstLine="480"/>
              <w:jc w:val="left"/>
            </w:pPr>
            <w:r>
              <w:rPr>
                <w:rFonts w:ascii="仿宋_GB2312" w:hAnsi="仿宋_GB2312" w:cs="仿宋_GB2312" w:eastAsia="仿宋_GB2312"/>
                <w:sz w:val="24"/>
                <w:color w:val="000000"/>
              </w:rPr>
              <w:t>2、用药方案：40%丙硫菌唑·戊唑醇悬浮剂每亩40毫升</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3、规格：最大包装1000克/瓶。</w:t>
            </w:r>
          </w:p>
          <w:p>
            <w:pPr>
              <w:pStyle w:val="null3"/>
              <w:ind w:firstLine="480"/>
              <w:jc w:val="left"/>
            </w:pPr>
            <w:r>
              <w:rPr>
                <w:rFonts w:ascii="仿宋_GB2312" w:hAnsi="仿宋_GB2312" w:cs="仿宋_GB2312" w:eastAsia="仿宋_GB2312"/>
                <w:sz w:val="24"/>
                <w:color w:val="000000"/>
              </w:rPr>
              <w:t>4、提供药剂质量检测报告。</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产品质保期：产品交付之日起</w:t>
            </w:r>
            <w:r>
              <w:rPr>
                <w:rFonts w:ascii="仿宋_GB2312" w:hAnsi="仿宋_GB2312" w:cs="仿宋_GB2312" w:eastAsia="仿宋_GB2312"/>
                <w:sz w:val="24"/>
                <w:color w:val="000000"/>
              </w:rPr>
              <w:t>12个月内。</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1、服务目标</w:t>
            </w:r>
          </w:p>
          <w:p>
            <w:pPr>
              <w:pStyle w:val="null3"/>
              <w:ind w:firstLine="480"/>
              <w:jc w:val="left"/>
            </w:pPr>
            <w:r>
              <w:rPr>
                <w:rFonts w:ascii="仿宋_GB2312" w:hAnsi="仿宋_GB2312" w:cs="仿宋_GB2312" w:eastAsia="仿宋_GB2312"/>
                <w:sz w:val="24"/>
                <w:color w:val="000000"/>
              </w:rPr>
              <w:t>组织引导种粮主体和群众适时对病虫害重发田、常发田开展</w:t>
            </w:r>
            <w:r>
              <w:rPr>
                <w:rFonts w:ascii="仿宋_GB2312" w:hAnsi="仿宋_GB2312" w:cs="仿宋_GB2312" w:eastAsia="仿宋_GB2312"/>
                <w:sz w:val="24"/>
                <w:color w:val="000000"/>
              </w:rPr>
              <w:t>“一喷三防”工作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2、人员配置要求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3、设施设备要求</w:t>
            </w:r>
          </w:p>
          <w:p>
            <w:pPr>
              <w:pStyle w:val="null3"/>
              <w:ind w:firstLine="480"/>
              <w:jc w:val="left"/>
            </w:pPr>
            <w:r>
              <w:rPr>
                <w:rFonts w:ascii="仿宋_GB2312" w:hAnsi="仿宋_GB2312" w:cs="仿宋_GB2312" w:eastAsia="仿宋_GB2312"/>
                <w:sz w:val="24"/>
                <w:color w:val="000000"/>
              </w:rPr>
              <w:t>按照项目实际情况进行配置。</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进度要求</w:t>
            </w:r>
          </w:p>
          <w:p>
            <w:pPr>
              <w:pStyle w:val="null3"/>
              <w:ind w:left="30" w:firstLine="480"/>
              <w:jc w:val="left"/>
            </w:pPr>
            <w:r>
              <w:rPr>
                <w:rFonts w:ascii="仿宋_GB2312" w:hAnsi="仿宋_GB2312" w:cs="仿宋_GB2312" w:eastAsia="仿宋_GB2312"/>
                <w:sz w:val="24"/>
                <w:color w:val="000000"/>
              </w:rPr>
              <w:t>2025年6-8月：采购一批应急防治药剂。</w:t>
            </w:r>
          </w:p>
          <w:p>
            <w:pPr>
              <w:pStyle w:val="null3"/>
              <w:ind w:firstLine="480"/>
              <w:jc w:val="left"/>
            </w:pPr>
            <w:r>
              <w:rPr>
                <w:rFonts w:ascii="仿宋_GB2312" w:hAnsi="仿宋_GB2312" w:cs="仿宋_GB2312" w:eastAsia="仿宋_GB2312"/>
                <w:sz w:val="24"/>
                <w:color w:val="000000"/>
              </w:rPr>
              <w:t>5、成果交付要求</w:t>
            </w:r>
          </w:p>
          <w:p>
            <w:pPr>
              <w:pStyle w:val="null3"/>
              <w:ind w:firstLine="480"/>
              <w:jc w:val="left"/>
            </w:pPr>
            <w:r>
              <w:rPr>
                <w:rFonts w:ascii="仿宋_GB2312" w:hAnsi="仿宋_GB2312" w:cs="仿宋_GB2312" w:eastAsia="仿宋_GB2312"/>
                <w:sz w:val="24"/>
                <w:color w:val="000000"/>
              </w:rPr>
              <w:t>项目完成后，能够及时有效的控制</w:t>
            </w:r>
            <w:r>
              <w:rPr>
                <w:rFonts w:ascii="仿宋_GB2312" w:hAnsi="仿宋_GB2312" w:cs="仿宋_GB2312" w:eastAsia="仿宋_GB2312"/>
                <w:sz w:val="24"/>
                <w:color w:val="000000"/>
              </w:rPr>
              <w:t>小麦赤霉病</w:t>
            </w:r>
            <w:r>
              <w:rPr>
                <w:rFonts w:ascii="仿宋_GB2312" w:hAnsi="仿宋_GB2312" w:cs="仿宋_GB2312" w:eastAsia="仿宋_GB2312"/>
                <w:sz w:val="24"/>
                <w:color w:val="000000"/>
              </w:rPr>
              <w:t>的发生和蔓延，带动临潼区粮食病虫防控向专业化方向发展，保障临潼区粮食生产安全，避免盲目施药，保护环境。</w:t>
            </w:r>
          </w:p>
          <w:p>
            <w:pPr>
              <w:pStyle w:val="null3"/>
              <w:ind w:firstLine="480"/>
              <w:jc w:val="left"/>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其他要求：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合同内容及金额：即中标单位的投标内容及其中标总金额。</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规格、数量：即交付的</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规格、数量与投标文件所指明的，或者与本合同所指明的</w:t>
            </w:r>
            <w:r>
              <w:rPr>
                <w:rFonts w:ascii="仿宋_GB2312" w:hAnsi="仿宋_GB2312" w:cs="仿宋_GB2312" w:eastAsia="仿宋_GB2312"/>
                <w:sz w:val="24"/>
                <w:color w:val="000000"/>
              </w:rPr>
              <w:t>货物</w:t>
            </w:r>
            <w:r>
              <w:rPr>
                <w:rFonts w:ascii="仿宋_GB2312" w:hAnsi="仿宋_GB2312" w:cs="仿宋_GB2312" w:eastAsia="仿宋_GB2312"/>
                <w:sz w:val="24"/>
                <w:color w:val="000000"/>
              </w:rPr>
              <w:t>规格及型号相一致。</w:t>
            </w:r>
          </w:p>
          <w:p>
            <w:pPr>
              <w:pStyle w:val="null3"/>
              <w:ind w:firstLine="480"/>
              <w:jc w:val="left"/>
            </w:pPr>
            <w:r>
              <w:rPr>
                <w:rFonts w:ascii="仿宋_GB2312" w:hAnsi="仿宋_GB2312" w:cs="仿宋_GB2312" w:eastAsia="仿宋_GB2312"/>
                <w:sz w:val="24"/>
                <w:color w:val="000000"/>
              </w:rPr>
              <w:t>3、包装：应采取防潮、防晒、防腐蚀、防震动及防止其它损坏的必要措施。成交人应承担由于其包装或防护措施不妥而引起的货物损坏和丢失等任何损失造成的责任或费用。</w:t>
            </w:r>
          </w:p>
          <w:p>
            <w:pPr>
              <w:pStyle w:val="null3"/>
              <w:ind w:firstLine="480"/>
              <w:jc w:val="left"/>
            </w:pPr>
            <w:r>
              <w:rPr>
                <w:rFonts w:ascii="仿宋_GB2312" w:hAnsi="仿宋_GB2312" w:cs="仿宋_GB2312" w:eastAsia="仿宋_GB2312"/>
                <w:sz w:val="24"/>
                <w:color w:val="000000"/>
              </w:rPr>
              <w:t>4、运输：选择运输风险小、运费低、距离短的运输路线。运杂费一次包死在总价内，包括生产厂到现场所需的装卸、运输（含保险费）、现场保管费、二次倒运费等费用。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待项目建设内容完成并经专家组验收通过，项目专项资金到位后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符合采购人要求，并达到质量合格标准。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产品交付之日起12个月内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供应商应是合法注册的法人或其他组织,并出具营业执照</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农药产品的供应商为生产厂家的，须提供“三证”（分别是《农药登记证》、《农药生产许可证》和《农药标准证》），供应商为经销商的还须同时提供《农药经营许可证》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法人代表证明或法人授权委托书</w:t>
            </w:r>
          </w:p>
        </w:tc>
        <w:tc>
          <w:tcPr>
            <w:tcW w:type="dxa" w:w="3322"/>
          </w:tcPr>
          <w:p>
            <w:pPr>
              <w:pStyle w:val="null3"/>
            </w:pPr>
            <w:r>
              <w:rPr>
                <w:rFonts w:ascii="仿宋_GB2312" w:hAnsi="仿宋_GB2312" w:cs="仿宋_GB2312" w:eastAsia="仿宋_GB2312"/>
              </w:rPr>
              <w:t>法人代表证明或法人授权委托书，后附法人及被委托人身份证（法定代表人直接参加投标的只需提供法定代表人身份证）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提供投标截止时间前6个月内任意一个月的社保缴费凭据或社保机构开具的社会保险参保缴费情况证明（以税款所属期为准，依法不需要缴纳社会保障资金的应提供相关证明材料）</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控股情况说明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并加盖公章）</w:t>
            </w:r>
          </w:p>
        </w:tc>
        <w:tc>
          <w:tcPr>
            <w:tcW w:type="dxa" w:w="1661"/>
          </w:tcPr>
          <w:p>
            <w:pPr>
              <w:pStyle w:val="null3"/>
            </w:pPr>
            <w:r>
              <w:rPr>
                <w:rFonts w:ascii="仿宋_GB2312" w:hAnsi="仿宋_GB2312" w:cs="仿宋_GB2312" w:eastAsia="仿宋_GB2312"/>
              </w:rPr>
              <w:t>资格审查资料.pdf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残疾人福利性单位声明函 中小企业声明函 资格审查资料.pdf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资格审查资料.pdf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资格审查资料.pdf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中小企业声明函 商务应答表 业绩.pdf 供应商承诺书.pdf 产品技术参数表 投标函 残疾人福利性单位声明函 标的清单 投标文件封面 资格审查资料.pdf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技术方案.docx 产品技术参数表 投标函 中小企业声明函 残疾人福利性单位声明函 商务应答表 标的清单 投标文件封面 业绩.pdf 供应商承诺书.pdf 资格审查资料.pdf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满足招标文件要求的投标有效期</w:t>
            </w:r>
          </w:p>
        </w:tc>
        <w:tc>
          <w:tcPr>
            <w:tcW w:type="dxa" w:w="1661"/>
          </w:tcPr>
          <w:p>
            <w:pPr>
              <w:pStyle w:val="null3"/>
            </w:pPr>
            <w:r>
              <w:rPr>
                <w:rFonts w:ascii="仿宋_GB2312" w:hAnsi="仿宋_GB2312" w:cs="仿宋_GB2312" w:eastAsia="仿宋_GB2312"/>
              </w:rPr>
              <w:t>技术方案.docx 产品技术参数表 投标函 中小企业声明函 残疾人福利性单位声明函 商务应答表 标的清单 业绩.pdf 投标文件封面 供应商承诺书.pdf 资格审查资料.pdf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按招标文件要求报价，不得提交选择性报价，且报价不超过其包段采购预算金额或最高限价</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满足招标文件要求的供货期</w:t>
            </w:r>
          </w:p>
        </w:tc>
        <w:tc>
          <w:tcPr>
            <w:tcW w:type="dxa" w:w="1661"/>
          </w:tcPr>
          <w:p>
            <w:pPr>
              <w:pStyle w:val="null3"/>
            </w:pPr>
            <w:r>
              <w:rPr>
                <w:rFonts w:ascii="仿宋_GB2312" w:hAnsi="仿宋_GB2312" w:cs="仿宋_GB2312" w:eastAsia="仿宋_GB2312"/>
              </w:rPr>
              <w:t>技术方案.docx 产品技术参数表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满足招标文件要求的质量标准</w:t>
            </w:r>
          </w:p>
        </w:tc>
        <w:tc>
          <w:tcPr>
            <w:tcW w:type="dxa" w:w="1661"/>
          </w:tcPr>
          <w:p>
            <w:pPr>
              <w:pStyle w:val="null3"/>
            </w:pPr>
            <w:r>
              <w:rPr>
                <w:rFonts w:ascii="仿宋_GB2312" w:hAnsi="仿宋_GB2312" w:cs="仿宋_GB2312" w:eastAsia="仿宋_GB2312"/>
              </w:rPr>
              <w:t>技术方案.docx 产品技术参数表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包括备货、供货、运输、人员安排、检验、应急等方案的保证措施。内容完整、全面、详细，符合项目需求，得10-15分；内容较完整、较详细，符合项目需求，得5-10分；内容欠缺、不详细，基本符合项目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供应商具有可靠、完善的质量管理制度；所投产品符合国家相关质量标准，有具体可行的质量保证措施及承诺，保证使用单位能正常使用。 优良得5-10分；一般得3-5分；较差得0-3分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供货期的药品、人员等具有安全保障措施、应急处理措施内容完整、全面、详细，得10-15分；内容较完整、较详细，得5-10分；内容欠缺、不详细，得0-5分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提供所供应药剂的产品来源渠道的证明资料，包括但不限于产品合格证、质量检测报告等。 资料详细、清晰、有效，得5-10分；资料较详细、较清晰、有效，得3-5分；资料简单、不清晰，得0-3分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履约能力承诺包括但不限于：①仓储设施②运输工具③管理水平。 优良得3-5分；一般得1-3分；较差得0-1分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售后服务网点的设定、拟投入售后服务人员配置情况、项目交付用户后出现缺陷响应时间及措施。 内容详细、合理、切实可行，得3-5分；内容较详细、较合理、基本可行，得1-3分，内容不详细、不合理、可行性较差，得0-1分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供应商提供近三年（2022年5月1日至今）类似项目业绩，每提供一个得2.5分，满分10分（以合同协议书或中标通知书为准）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采用低价优先法计算，满足招标文件要求且投标价格最低的投标报价为评标基准价，其价格分为满分30分。 投标报价得分＝（评审基准价/投标报价）×30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详见附件：资格审查资料.pdf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详见附件：供应商承诺书.pdf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