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版本号：ZCZB-2025-011420250701001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2024年城乡义务教育补助校舍安全保障长效机制（焦范小学、骊山初级中学、任留初级中学、新市小学）建设项目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ZCZB-2025-0114</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2024年城乡义务教育补助校舍安全保障长效机制（焦范小学、骊山初级中学、任留初级中学、新市小学）建设项目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2024年城乡义务教育补助校舍安全保障长效机制（焦范小学、骊山初级中学、任留初级中学、新市小学）建设项目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2024年城乡义务教育补助校舍安全保障长效机制（焦范小学、骊山初级中学、任留初级中学、新市小学）建设项目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采购包1（2024年城乡义务教育补助校舍安全保障长效机制（焦范小学、骊山初级中学、任留初级中学、新市小学）建设项目）：属于专门面向中小企业采购。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4、承诺函：具备履行合同所必需的设备和专业技术能力的证明材料（书面声明）；</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7、法定代表人授权书：被授权人参与的应提供法定代表人(单位负责人)授权书及被授权人身份证原件，法定代表人(单位负责人)直接参加只须提供法定代表人(单位负责人)身份证原件；</w:t>
      </w:r>
    </w:p>
    <w:p>
      <w:pPr>
        <w:pStyle w:val="null3"/>
      </w:pPr>
      <w:r>
        <w:rPr>
          <w:rFonts w:ascii="仿宋_GB2312" w:hAnsi="仿宋_GB2312" w:cs="仿宋_GB2312" w:eastAsia="仿宋_GB2312"/>
        </w:rPr>
        <w:t>8、资质要求：供应商须具备建设行政主管部门颁发的建筑工程施工总承包三级（含三级）以上资质，企业具有有效的安全生产许可证；</w:t>
      </w:r>
    </w:p>
    <w:p>
      <w:pPr>
        <w:pStyle w:val="null3"/>
      </w:pPr>
      <w:r>
        <w:rPr>
          <w:rFonts w:ascii="仿宋_GB2312" w:hAnsi="仿宋_GB2312" w:cs="仿宋_GB2312" w:eastAsia="仿宋_GB2312"/>
        </w:rPr>
        <w:t>9、拟派项目负责人资质和专业要求：拟派项目经理具备建筑工程专业二级及以上注册建造师资格，需在本企业注册、且具有有效的安全生产考核合格证书，无在建证明材料或书面承诺；</w:t>
      </w:r>
    </w:p>
    <w:p>
      <w:pPr>
        <w:pStyle w:val="null3"/>
      </w:pPr>
      <w:r>
        <w:rPr>
          <w:rFonts w:ascii="仿宋_GB2312" w:hAnsi="仿宋_GB2312" w:cs="仿宋_GB2312" w:eastAsia="仿宋_GB2312"/>
        </w:rPr>
        <w:t>10、信用情况：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029-88617546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采购包1：1,909,924.96元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中标人在领取中标通知书前，须向采购代理机构支付招标代理服务费。 2. 招标代理服务费的金额参照“国家计委关于印发《招标代理服务收费管理暂行办法》的通知（计价格[2002]1980号）、国家发展计划委员会文件（发改办价格[2003]857号）国家发展改革委办公厅关于招标代理服务收费有关问题的通知”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联系电话：029-88617546</w:t>
      </w:r>
    </w:p>
    <w:p>
      <w:pPr>
        <w:pStyle w:val="null3"/>
      </w:pPr>
      <w:r>
        <w:rPr>
          <w:rFonts w:ascii="仿宋_GB2312" w:hAnsi="仿宋_GB2312" w:cs="仿宋_GB2312" w:eastAsia="仿宋_GB2312"/>
        </w:rPr>
        <w:t>地址：陕西省西安市莲湖区太和时代广场C座206室</w:t>
      </w:r>
    </w:p>
    <w:p>
      <w:pPr>
        <w:pStyle w:val="null3"/>
      </w:pPr>
      <w:r>
        <w:rPr>
          <w:rFonts w:ascii="仿宋_GB2312" w:hAnsi="仿宋_GB2312" w:cs="仿宋_GB2312" w:eastAsia="仿宋_GB2312"/>
        </w:rPr>
        <w:t>邮编：710003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1,909,924.96</w:t>
      </w:r>
    </w:p>
    <w:p>
      <w:pPr>
        <w:pStyle w:val="null3"/>
      </w:pPr>
      <w:r>
        <w:rPr>
          <w:rFonts w:ascii="仿宋_GB2312" w:hAnsi="仿宋_GB2312" w:cs="仿宋_GB2312" w:eastAsia="仿宋_GB2312"/>
        </w:rPr>
        <w:t>采购包最高限价（元）: 1,909,924.96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围墙、厕所、护坡等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1,909,924.96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标的名称：围墙、厕所、护坡等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被授权人参与的应提供法定代表人(单位负责人)授权书及被授权人身份证原件，法定代表人(单位负责人)直接参加只须提供法定代表人(单位负责人)身份证原件；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供应商须具备建设行政主管部门颁发的建筑工程施工总承包三级（含三级）以上资质，企业具有有效的安全生产许可证；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拟派项目经理具备建筑工程专业二级及以上注册建造师资格，需在本企业注册、且具有有效的安全生产考核合格证书，无在建证明材料或书面承诺；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项目管理及力量配备</w:t>
            </w:r>
          </w:p>
        </w:tc>
        <w:tc>
          <w:tcPr>
            <w:tcW w:type="dxa" w:w="2492"/>
          </w:tcPr>
          <w:p>
            <w:pPr>
              <w:pStyle w:val="null3"/>
            </w:pPr>
            <w:r>
              <w:rPr>
                <w:rFonts w:ascii="仿宋_GB2312" w:hAnsi="仿宋_GB2312" w:cs="仿宋_GB2312" w:eastAsia="仿宋_GB2312"/>
              </w:rPr>
              <w:t>项目管理及力量配备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确保工程质量的技术措施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确保安全施工的技术组织措施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w:t>
            </w:r>
          </w:p>
        </w:tc>
        <w:tc>
          <w:tcPr>
            <w:tcW w:type="dxa" w:w="2492"/>
          </w:tcPr>
          <w:p>
            <w:pPr>
              <w:pStyle w:val="null3"/>
            </w:pPr>
            <w:r>
              <w:rPr>
                <w:rFonts w:ascii="仿宋_GB2312" w:hAnsi="仿宋_GB2312" w:cs="仿宋_GB2312" w:eastAsia="仿宋_GB2312"/>
              </w:rPr>
              <w:t>施工部署及施工总平面布置图及临时设施临时用地表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主要机具、设备、材料和劳动力配备情况</w:t>
            </w:r>
          </w:p>
        </w:tc>
        <w:tc>
          <w:tcPr>
            <w:tcW w:type="dxa" w:w="2492"/>
          </w:tcPr>
          <w:p>
            <w:pPr>
              <w:pStyle w:val="null3"/>
            </w:pPr>
            <w:r>
              <w:rPr>
                <w:rFonts w:ascii="仿宋_GB2312" w:hAnsi="仿宋_GB2312" w:cs="仿宋_GB2312" w:eastAsia="仿宋_GB2312"/>
              </w:rPr>
              <w:t>主要机具、设备、材料和劳动力配备情况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采用新技术、新工艺对提高工程质量、缩短工期、降低造价的可行性措施</w:t>
            </w:r>
          </w:p>
        </w:tc>
        <w:tc>
          <w:tcPr>
            <w:tcW w:type="dxa" w:w="2492"/>
          </w:tcPr>
          <w:p>
            <w:pPr>
              <w:pStyle w:val="null3"/>
            </w:pPr>
            <w:r>
              <w:rPr>
                <w:rFonts w:ascii="仿宋_GB2312" w:hAnsi="仿宋_GB2312" w:cs="仿宋_GB2312" w:eastAsia="仿宋_GB2312"/>
              </w:rPr>
              <w:t>采用新技术、新工艺对提高工程质量、缩短工期、降低造价的可行性措施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进度计划和工期目标（供应商提供施工计划网络图或横道图）</w:t>
            </w:r>
          </w:p>
        </w:tc>
        <w:tc>
          <w:tcPr>
            <w:tcW w:type="dxa" w:w="2492"/>
          </w:tcPr>
          <w:p>
            <w:pPr>
              <w:pStyle w:val="null3"/>
            </w:pPr>
            <w:r>
              <w:rPr>
                <w:rFonts w:ascii="仿宋_GB2312" w:hAnsi="仿宋_GB2312" w:cs="仿宋_GB2312" w:eastAsia="仿宋_GB2312"/>
              </w:rPr>
              <w:t>进度计划和工期目标（供应商提供施工计划网络图或横道图）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1、根据供应商的最后报价，对有效最后报价进行政策性扣减，并依据扣减后的价格（评审价格）进行价格评审。 2、有效最低评审价格得30分。 3、其他报价得分按（有效最低评审价格/评审价格）×30的公式计算其得分。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