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版本号：YDZC2025-060420250715001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综合保障平台新能源汽车租赁运行项目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YDZC2025-0604</w:t>
      </w:r>
      <w:r>
        <w:br/>
      </w:r>
      <w:r>
        <w:br/>
      </w:r>
      <w:r>
        <w:br/>
      </w:r>
    </w:p>
    <w:p>
      <w:pPr>
        <w:pStyle w:val="null3"/>
        <w:jc w:val="center"/>
        <w:outlineLvl w:val="2"/>
      </w:pPr>
      <w:r>
        <w:rPr>
          <w:rFonts w:ascii="仿宋_GB2312" w:hAnsi="仿宋_GB2312" w:cs="仿宋_GB2312" w:eastAsia="仿宋_GB2312"/>
          <w:sz w:val="28"/>
          <w:b/>
        </w:rPr>
        <w:t>西安市临潼区机关事务服务中心</w:t>
      </w:r>
    </w:p>
    <w:p>
      <w:pPr>
        <w:pStyle w:val="null3"/>
        <w:jc w:val="center"/>
        <w:outlineLvl w:val="2"/>
      </w:pPr>
      <w:r>
        <w:rPr>
          <w:rFonts w:ascii="仿宋_GB2312" w:hAnsi="仿宋_GB2312" w:cs="仿宋_GB2312" w:eastAsia="仿宋_GB2312"/>
          <w:sz w:val="28"/>
          <w:b/>
        </w:rPr>
        <w:t>远大工程项目管理有限公司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远大工程项目管理有限公司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西安市临潼区机关事务服务中心</w:t>
      </w:r>
      <w:r>
        <w:rPr>
          <w:rFonts w:ascii="仿宋_GB2312" w:hAnsi="仿宋_GB2312" w:cs="仿宋_GB2312" w:eastAsia="仿宋_GB2312"/>
        </w:rPr>
        <w:t>委托，拟对</w:t>
      </w:r>
      <w:r>
        <w:rPr>
          <w:rFonts w:ascii="仿宋_GB2312" w:hAnsi="仿宋_GB2312" w:cs="仿宋_GB2312" w:eastAsia="仿宋_GB2312"/>
        </w:rPr>
        <w:t>综合保障平台新能源汽车租赁运行项目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YDZC2025-0604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综合保障平台新能源汽车租赁运行项目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西安市临潼区机关事务服务中心综合保障平台新能源汽车租赁运行项目，采购内容:五座紧凑型小轿车共3台，五座中型小轿车共2台，五座大型小轿车共2台，九座中大型MPV共1台。具体内容及要求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采购包1（综合保障平台新能源汽车租赁运行项目）：属于专门面向中小企业采购。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1、信誉要求：供应商不得为“信用中国(www.creditchina.gov.cn)”中列入失信被执行人和重大税收违法案件当事人名单的供应商，不得为“中国政府采购网(www.ccgp.gov.cn)”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政府采购严重违法失信行为记录名单中被财政部门禁止参加政府采购活动的供应商（由采购代理机构查询，查询时限为竞争性磋商响应文件递交截止之日）；</w:t>
      </w:r>
    </w:p>
    <w:p>
      <w:pPr>
        <w:pStyle w:val="null3"/>
      </w:pPr>
      <w:r>
        <w:rPr>
          <w:rFonts w:ascii="仿宋_GB2312" w:hAnsi="仿宋_GB2312" w:cs="仿宋_GB2312" w:eastAsia="仿宋_GB2312"/>
        </w:rPr>
        <w:t>2、法定代表人授权书：法定代表人授权书及被授权人身份证复印件（法定代表人直接参加磋商的须提供其法人身份证复印件），非法人单位参照执行；</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西安市临潼区机关事务服务中心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临潼区书院门街41号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机关事务服务中心经办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029-83969511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远大工程项目管理有限公司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陕西省西安市未央区陕西省西安市经开区凤城八路长和国际D座20层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李杭</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029-81527788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采购包1：292,000.00元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代理服务费收费标准：代理服务费用收取对象：中标/成交供应商 代理服务费收费标准：参照国家计委颁布的《招标代理服务收费管理暂行办法》（计价格〔2002〕1980号）及发改办价格〔2003〕857号文件的规定标准收取，不足五千按五千收取。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西安市临潼区机关事务服务中心</w:t>
      </w:r>
      <w:r>
        <w:rPr>
          <w:rFonts w:ascii="仿宋_GB2312" w:hAnsi="仿宋_GB2312" w:cs="仿宋_GB2312" w:eastAsia="仿宋_GB2312"/>
        </w:rPr>
        <w:t>和</w:t>
      </w:r>
      <w:r>
        <w:rPr>
          <w:rFonts w:ascii="仿宋_GB2312" w:hAnsi="仿宋_GB2312" w:cs="仿宋_GB2312" w:eastAsia="仿宋_GB2312"/>
        </w:rPr>
        <w:t>远大工程项目管理有限公司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西安市临潼区机关事务服务中心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远大工程项目管理有限公司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西安市临潼区机关事务服务中心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远大工程项目管理有限公司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远大工程项目管理有限公司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远大工程项目管理有限公司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远大工程项目管理有限公司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联系人：李杭</w:t>
      </w:r>
    </w:p>
    <w:p>
      <w:pPr>
        <w:pStyle w:val="null3"/>
      </w:pPr>
      <w:r>
        <w:rPr>
          <w:rFonts w:ascii="仿宋_GB2312" w:hAnsi="仿宋_GB2312" w:cs="仿宋_GB2312" w:eastAsia="仿宋_GB2312"/>
        </w:rPr>
        <w:t>联系电话：029-81527788</w:t>
      </w:r>
    </w:p>
    <w:p>
      <w:pPr>
        <w:pStyle w:val="null3"/>
      </w:pPr>
      <w:r>
        <w:rPr>
          <w:rFonts w:ascii="仿宋_GB2312" w:hAnsi="仿宋_GB2312" w:cs="仿宋_GB2312" w:eastAsia="仿宋_GB2312"/>
        </w:rPr>
        <w:t>地址：西安市未央区凤城七路长和国际D座20层</w:t>
      </w:r>
    </w:p>
    <w:p>
      <w:pPr>
        <w:pStyle w:val="null3"/>
      </w:pPr>
      <w:r>
        <w:rPr>
          <w:rFonts w:ascii="仿宋_GB2312" w:hAnsi="仿宋_GB2312" w:cs="仿宋_GB2312" w:eastAsia="仿宋_GB2312"/>
        </w:rPr>
        <w:t>邮编：710010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西安市临潼区机关事务服务中心综合保障平台新能源汽车租赁运行项目项目，采购内容:五座紧凑型小轿车共3台，五座中型小轿车共2台，五座大型小轿车共2台，九座中大型MPV共1台。具体内容及要求详见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292,000.00</w:t>
      </w:r>
    </w:p>
    <w:p>
      <w:pPr>
        <w:pStyle w:val="null3"/>
      </w:pPr>
      <w:r>
        <w:rPr>
          <w:rFonts w:ascii="仿宋_GB2312" w:hAnsi="仿宋_GB2312" w:cs="仿宋_GB2312" w:eastAsia="仿宋_GB2312"/>
        </w:rPr>
        <w:t>采购包最高限价（元）: 292,000.00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综合保障平台新能源汽车租赁运行项目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292,000.00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标的名称：综合保障平台新能源汽车租赁运行项目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一、采购项目概况</w:t>
            </w:r>
          </w:p>
          <w:p>
            <w:pPr>
              <w:pStyle w:val="null3"/>
              <w:jc w:val="both"/>
            </w:pPr>
            <w:r>
              <w:rPr>
                <w:rFonts w:ascii="仿宋_GB2312" w:hAnsi="仿宋_GB2312" w:cs="仿宋_GB2312" w:eastAsia="仿宋_GB2312"/>
              </w:rPr>
              <w:t>1、项目名称:西安市临潼区机关事务服务中心综合保障平台新能源汽车租赁运行项目；</w:t>
            </w:r>
          </w:p>
          <w:p>
            <w:pPr>
              <w:pStyle w:val="null3"/>
              <w:jc w:val="both"/>
            </w:pPr>
            <w:r>
              <w:rPr>
                <w:rFonts w:ascii="仿宋_GB2312" w:hAnsi="仿宋_GB2312" w:cs="仿宋_GB2312" w:eastAsia="仿宋_GB2312"/>
              </w:rPr>
              <w:t>2、交付地点：临潼区集中办公区南院；</w:t>
            </w:r>
          </w:p>
          <w:p>
            <w:pPr>
              <w:pStyle w:val="null3"/>
              <w:jc w:val="both"/>
            </w:pPr>
            <w:r>
              <w:rPr>
                <w:rFonts w:ascii="仿宋_GB2312" w:hAnsi="仿宋_GB2312" w:cs="仿宋_GB2312" w:eastAsia="仿宋_GB2312"/>
              </w:rPr>
              <w:t>3、服务期：一年；</w:t>
            </w:r>
          </w:p>
          <w:p>
            <w:pPr>
              <w:pStyle w:val="null3"/>
              <w:jc w:val="both"/>
            </w:pPr>
            <w:r>
              <w:rPr>
                <w:rFonts w:ascii="仿宋_GB2312" w:hAnsi="仿宋_GB2312" w:cs="仿宋_GB2312" w:eastAsia="仿宋_GB2312"/>
              </w:rPr>
              <w:t>二、采购内容及要求</w:t>
            </w:r>
          </w:p>
          <w:p>
            <w:pPr>
              <w:pStyle w:val="null3"/>
              <w:jc w:val="left"/>
            </w:pPr>
            <w:r>
              <w:rPr>
                <w:rFonts w:ascii="仿宋_GB2312" w:hAnsi="仿宋_GB2312" w:cs="仿宋_GB2312" w:eastAsia="仿宋_GB2312"/>
              </w:rPr>
              <w:t>1、</w:t>
            </w:r>
            <w:r>
              <w:rPr>
                <w:rFonts w:ascii="仿宋_GB2312" w:hAnsi="仿宋_GB2312" w:cs="仿宋_GB2312" w:eastAsia="仿宋_GB2312"/>
                <w:b/>
              </w:rPr>
              <w:t>五座紧凑型小轿车共3台。</w:t>
            </w:r>
            <w:r>
              <w:rPr>
                <w:rFonts w:ascii="仿宋_GB2312" w:hAnsi="仿宋_GB2312" w:cs="仿宋_GB2312" w:eastAsia="仿宋_GB2312"/>
              </w:rPr>
              <w:t>车辆参数要求如下:车身颜色黑色，结构四门五座三厢车，长*宽*高(mm)≧4795*1837*1515，轴距≧2700mm，按航里程≧500，电池快充时问(小时)≦0.5，快充电量(%)30-80，最大扭矩(NM)≧180,最大满载质量(kg)≧1989。必须的安全配置:主/副驾驶座安全气</w:t>
            </w:r>
            <w:r>
              <w:rPr>
                <w:rFonts w:ascii="仿宋_GB2312" w:hAnsi="仿宋_GB2312" w:cs="仿宋_GB2312" w:eastAsia="仿宋_GB2312"/>
              </w:rPr>
              <w:t>囊</w:t>
            </w:r>
            <w:r>
              <w:rPr>
                <w:rFonts w:ascii="仿宋_GB2312" w:hAnsi="仿宋_GB2312" w:cs="仿宋_GB2312" w:eastAsia="仿宋_GB2312"/>
              </w:rPr>
              <w:t>，胎压监测功能，安全带未提醒，ABS防抱死，制动力分配(EBD/CBC等)，车身稳定控制(ESP/DSC/VSC等)。</w:t>
            </w:r>
          </w:p>
          <w:p>
            <w:pPr>
              <w:pStyle w:val="null3"/>
              <w:jc w:val="left"/>
            </w:pPr>
            <w:r>
              <w:rPr>
                <w:rFonts w:ascii="仿宋_GB2312" w:hAnsi="仿宋_GB2312" w:cs="仿宋_GB2312" w:eastAsia="仿宋_GB2312"/>
              </w:rPr>
              <w:t>2、</w:t>
            </w:r>
            <w:r>
              <w:rPr>
                <w:rFonts w:ascii="仿宋_GB2312" w:hAnsi="仿宋_GB2312" w:cs="仿宋_GB2312" w:eastAsia="仿宋_GB2312"/>
                <w:b/>
              </w:rPr>
              <w:t>五座中型小轿车共2台</w:t>
            </w:r>
            <w:r>
              <w:rPr>
                <w:rFonts w:ascii="仿宋_GB2312" w:hAnsi="仿宋_GB2312" w:cs="仿宋_GB2312" w:eastAsia="仿宋_GB2312"/>
              </w:rPr>
              <w:t>。车辆参数要求如下:车身颜色灰/白色，结构四门五座三厢车，长*宽*高(mm)≧4720*1880*1495，轴距≧2820mm，续航里程≧500，电池快充时间(小时)≦0.4，快充电量(%)30-80，最大扭矩(NM)≧330,最大满载质量(kg)≧2225。必须的安全配置:主/副驾驶座安全气囊，胎压监测功能，安全带未提醒，ABS防抱死，制动力分配(EBD/CBC等)，车身稳定控制(ESP/DSC/VSC)等。</w:t>
            </w:r>
          </w:p>
          <w:p>
            <w:pPr>
              <w:pStyle w:val="null3"/>
              <w:jc w:val="left"/>
            </w:pPr>
            <w:r>
              <w:rPr>
                <w:rFonts w:ascii="仿宋_GB2312" w:hAnsi="仿宋_GB2312" w:cs="仿宋_GB2312" w:eastAsia="仿宋_GB2312"/>
              </w:rPr>
              <w:t>3、</w:t>
            </w:r>
            <w:r>
              <w:rPr>
                <w:rFonts w:ascii="仿宋_GB2312" w:hAnsi="仿宋_GB2312" w:cs="仿宋_GB2312" w:eastAsia="仿宋_GB2312"/>
                <w:b/>
              </w:rPr>
              <w:t>五座大型小轿车共2台</w:t>
            </w:r>
            <w:r>
              <w:rPr>
                <w:rFonts w:ascii="仿宋_GB2312" w:hAnsi="仿宋_GB2312" w:cs="仿宋_GB2312" w:eastAsia="仿宋_GB2312"/>
              </w:rPr>
              <w:t>。车辆参数要求如下:车身颜色黑色，结构四门五座三厢车，长*宽*高(mm)≧4995*1910*1495，轴距≧2920mm，续航里程≧500，电池快充时间(小时)≦0.42，快充电量(%)80，最大扭矩(NM)≧310,最大满载质量(kg)≧2295。必须的安全配置:主/副驾驶座安全气囊，胎压监测功能，安全带未提醒，ABS防抱死，制动力分配(EBD/CBC等)，车身稳定控制(ESP/DSC/VSC等)。</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b/>
              </w:rPr>
              <w:t>九座中大型MPV共1台</w:t>
            </w:r>
            <w:r>
              <w:rPr>
                <w:rFonts w:ascii="仿宋_GB2312" w:hAnsi="仿宋_GB2312" w:cs="仿宋_GB2312" w:eastAsia="仿宋_GB2312"/>
                <w:sz w:val="21"/>
              </w:rPr>
              <w:t>。车辆参数要求如下:车身颜色黑色，结构四门五座三厢车，</w:t>
            </w:r>
            <w:r>
              <w:rPr>
                <w:rFonts w:ascii="仿宋_GB2312" w:hAnsi="仿宋_GB2312" w:cs="仿宋_GB2312" w:eastAsia="仿宋_GB2312"/>
                <w:sz w:val="21"/>
              </w:rPr>
              <w:t>长*宽*高</w:t>
            </w:r>
            <w:r>
              <w:rPr>
                <w:rFonts w:ascii="仿宋_GB2312" w:hAnsi="仿宋_GB2312" w:cs="仿宋_GB2312" w:eastAsia="仿宋_GB2312"/>
                <w:sz w:val="21"/>
              </w:rPr>
              <w:t>≧</w:t>
            </w:r>
            <w:r>
              <w:rPr>
                <w:rFonts w:ascii="仿宋_GB2312" w:hAnsi="仿宋_GB2312" w:cs="仿宋_GB2312" w:eastAsia="仿宋_GB2312"/>
                <w:sz w:val="21"/>
              </w:rPr>
              <w:t>(mm)5200*1890*1980，轴距</w:t>
            </w:r>
            <w:r>
              <w:rPr>
                <w:rFonts w:ascii="仿宋_GB2312" w:hAnsi="仿宋_GB2312" w:cs="仿宋_GB2312" w:eastAsia="仿宋_GB2312"/>
                <w:sz w:val="21"/>
              </w:rPr>
              <w:t>≧</w:t>
            </w:r>
            <w:r>
              <w:rPr>
                <w:rFonts w:ascii="仿宋_GB2312" w:hAnsi="仿宋_GB2312" w:cs="仿宋_GB2312" w:eastAsia="仿宋_GB2312"/>
                <w:sz w:val="21"/>
              </w:rPr>
              <w:t>3080mm，续航里程</w:t>
            </w:r>
            <w:r>
              <w:rPr>
                <w:rFonts w:ascii="仿宋_GB2312" w:hAnsi="仿宋_GB2312" w:cs="仿宋_GB2312" w:eastAsia="仿宋_GB2312"/>
                <w:sz w:val="21"/>
              </w:rPr>
              <w:t>≧</w:t>
            </w:r>
            <w:r>
              <w:rPr>
                <w:rFonts w:ascii="仿宋_GB2312" w:hAnsi="仿宋_GB2312" w:cs="仿宋_GB2312" w:eastAsia="仿宋_GB2312"/>
                <w:sz w:val="21"/>
              </w:rPr>
              <w:t>400，电池快充时间(小时)</w:t>
            </w:r>
            <w:r>
              <w:rPr>
                <w:rFonts w:ascii="仿宋_GB2312" w:hAnsi="仿宋_GB2312" w:cs="仿宋_GB2312" w:eastAsia="仿宋_GB2312"/>
                <w:sz w:val="21"/>
              </w:rPr>
              <w:t>≦</w:t>
            </w:r>
            <w:r>
              <w:rPr>
                <w:rFonts w:ascii="仿宋_GB2312" w:hAnsi="仿宋_GB2312" w:cs="仿宋_GB2312" w:eastAsia="仿宋_GB2312"/>
                <w:sz w:val="21"/>
              </w:rPr>
              <w:t>0.65，快充电量(%)15-80，最大扭矩(NM)</w:t>
            </w:r>
            <w:r>
              <w:rPr>
                <w:rFonts w:ascii="仿宋_GB2312" w:hAnsi="仿宋_GB2312" w:cs="仿宋_GB2312" w:eastAsia="仿宋_GB2312"/>
                <w:sz w:val="21"/>
              </w:rPr>
              <w:t>≧</w:t>
            </w:r>
            <w:r>
              <w:rPr>
                <w:rFonts w:ascii="仿宋_GB2312" w:hAnsi="仿宋_GB2312" w:cs="仿宋_GB2312" w:eastAsia="仿宋_GB2312"/>
                <w:sz w:val="21"/>
              </w:rPr>
              <w:t>320,最大满载质量(kg)</w:t>
            </w:r>
            <w:r>
              <w:rPr>
                <w:rFonts w:ascii="仿宋_GB2312" w:hAnsi="仿宋_GB2312" w:cs="仿宋_GB2312" w:eastAsia="仿宋_GB2312"/>
                <w:sz w:val="21"/>
              </w:rPr>
              <w:t>≧</w:t>
            </w:r>
            <w:r>
              <w:rPr>
                <w:rFonts w:ascii="仿宋_GB2312" w:hAnsi="仿宋_GB2312" w:cs="仿宋_GB2312" w:eastAsia="仿宋_GB2312"/>
                <w:sz w:val="21"/>
              </w:rPr>
              <w:t>2895。必须的安全配置:主/副驾驶座安全气囊，胎压监测功能，安全带未提醒，ABS防抱死，制动力分配(EBD/CBC等)，车身稳定控制(ESP/DSC/VSC等)。</w:t>
            </w:r>
          </w:p>
          <w:p>
            <w:pPr>
              <w:pStyle w:val="null3"/>
              <w:jc w:val="both"/>
            </w:pPr>
            <w:r>
              <w:rPr>
                <w:rFonts w:ascii="仿宋_GB2312" w:hAnsi="仿宋_GB2312" w:cs="仿宋_GB2312" w:eastAsia="仿宋_GB2312"/>
              </w:rPr>
              <w:t>三、报价内容及要求</w:t>
            </w:r>
          </w:p>
          <w:tbl>
            <w:tblPr>
              <w:tblBorders>
                <w:top w:val="none" w:color="000000" w:sz="4"/>
                <w:left w:val="none" w:color="000000" w:sz="4"/>
                <w:bottom w:val="none" w:color="000000" w:sz="4"/>
                <w:right w:val="none" w:color="000000" w:sz="4"/>
                <w:insideH w:val="none"/>
                <w:insideV w:val="none"/>
              </w:tblBorders>
            </w:tblPr>
            <w:tblGrid>
              <w:gridCol w:w="439"/>
              <w:gridCol w:w="270"/>
              <w:gridCol w:w="451"/>
              <w:gridCol w:w="274"/>
            </w:tblGrid>
            <w:tr>
              <w:tc>
                <w:tcPr>
                  <w:tcW w:type="dxa" w:w="4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租赁车辆规格</w:t>
                  </w:r>
                </w:p>
              </w:tc>
              <w:tc>
                <w:tcPr>
                  <w:tcW w:type="dxa" w:w="2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数量（辆）</w:t>
                  </w:r>
                </w:p>
              </w:tc>
              <w:tc>
                <w:tcPr>
                  <w:tcW w:type="dxa" w:w="4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月租（使用服务费）</w:t>
                  </w:r>
                </w:p>
                <w:p>
                  <w:pPr>
                    <w:pStyle w:val="null3"/>
                    <w:jc w:val="center"/>
                  </w:pPr>
                  <w:r>
                    <w:rPr>
                      <w:rFonts w:ascii="仿宋_GB2312" w:hAnsi="仿宋_GB2312" w:cs="仿宋_GB2312" w:eastAsia="仿宋_GB2312"/>
                      <w:sz w:val="19"/>
                    </w:rPr>
                    <w:t>（元/月/辆）</w:t>
                  </w:r>
                </w:p>
              </w:tc>
              <w:tc>
                <w:tcPr>
                  <w:tcW w:type="dxa" w:w="2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运行维护服务费</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五座紧凑型小轿车</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2340</w:t>
                  </w:r>
                </w:p>
              </w:tc>
              <w:tc>
                <w:tcPr>
                  <w:tcW w:type="dxa" w:w="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据实结算</w:t>
                  </w:r>
                </w:p>
                <w:p>
                  <w:pPr>
                    <w:pStyle w:val="null3"/>
                    <w:jc w:val="center"/>
                  </w:pP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五座中型小轿车</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2543</w:t>
                  </w:r>
                </w:p>
              </w:tc>
              <w:tc>
                <w:tcPr>
                  <w:tcW w:type="dxa" w:w="274"/>
                  <w:vMerge/>
                  <w:tcBorders>
                    <w:top w:val="none" w:color="000000" w:sz="4"/>
                    <w:left w:val="single" w:color="000000" w:sz="4"/>
                    <w:bottom w:val="single" w:color="000000" w:sz="4"/>
                    <w:right w:val="single" w:color="000000" w:sz="4"/>
                  </w:tcBorders>
                </w:tcP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五座大型小轿车</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3534</w:t>
                  </w:r>
                </w:p>
              </w:tc>
              <w:tc>
                <w:tcPr>
                  <w:tcW w:type="dxa" w:w="274"/>
                  <w:vMerge/>
                  <w:tcBorders>
                    <w:top w:val="none" w:color="000000" w:sz="4"/>
                    <w:left w:val="single" w:color="000000" w:sz="4"/>
                    <w:bottom w:val="single" w:color="000000" w:sz="4"/>
                    <w:right w:val="single" w:color="000000" w:sz="4"/>
                  </w:tcBorders>
                </w:tcP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九座中大型MPV</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3733</w:t>
                  </w:r>
                </w:p>
              </w:tc>
              <w:tc>
                <w:tcPr>
                  <w:tcW w:type="dxa" w:w="274"/>
                  <w:vMerge/>
                  <w:tcBorders>
                    <w:top w:val="none" w:color="000000" w:sz="4"/>
                    <w:left w:val="single" w:color="000000" w:sz="4"/>
                    <w:bottom w:val="single" w:color="000000" w:sz="4"/>
                    <w:right w:val="single" w:color="000000" w:sz="4"/>
                  </w:tcBorders>
                </w:tcPr>
                <w:p/>
              </w:tc>
            </w:tr>
            <w:tr>
              <w:tc>
                <w:tcPr>
                  <w:tcW w:type="dxa" w:w="143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注释：</w:t>
                  </w:r>
                  <w:r>
                    <w:rPr>
                      <w:rFonts w:ascii="仿宋_GB2312" w:hAnsi="仿宋_GB2312" w:cs="仿宋_GB2312" w:eastAsia="仿宋_GB2312"/>
                      <w:sz w:val="19"/>
                      <w:b/>
                    </w:rPr>
                    <w:t>服务企业在车辆使用服务费上统一报出下浮率（</w:t>
                  </w:r>
                  <w:r>
                    <w:rPr>
                      <w:rFonts w:ascii="仿宋_GB2312" w:hAnsi="仿宋_GB2312" w:cs="仿宋_GB2312" w:eastAsia="仿宋_GB2312"/>
                      <w:sz w:val="19"/>
                      <w:b/>
                    </w:rPr>
                    <w:t>四种车型下浮率应为统一下浮率</w:t>
                  </w:r>
                  <w:r>
                    <w:rPr>
                      <w:rFonts w:ascii="仿宋_GB2312" w:hAnsi="仿宋_GB2312" w:cs="仿宋_GB2312" w:eastAsia="仿宋_GB2312"/>
                      <w:sz w:val="19"/>
                      <w:b/>
                    </w:rPr>
                    <w:t>），运行维修服务费根据实际使用情况据实结算。</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预算金额包含车辆使用服务费(月租)及运行维护服务费，服务企业在车辆使用服务费上统-报出下浮率，运行维修服务费根据实际使用情况据实结算。</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临潼区集中办公区南院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采购包1： 1.因国家有关法律、法规、政策调整等因素，导致合同价款需变更时，经甲乙双方协商一致并签订书面变更协议后，合同价款方可做变更。 2.自合同生效日起，甲方一次性支付租赁服务费用，同时甲方可根据自身资金安排情况统筹向乙方支付合同金额。 3.甲方在向乙方支付合同价款前，乙方应向甲方出具等额合法正规发票，乙方有权监管甲方对车辆的使用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供应商需要在线提交所有通过电子化交易平台实施的政府采购项目的响应文件，同时，线下提交响应文件正本壹份、副本贰套、电子版壹套（U盘一套标明供应商名称，随正本密封）。线下纸质文件递交截止时间：同在线递交电子响应文件截止时间一致；线下纸质文件递交地点：陕西省西安市未央区凤城七路长和国际D座20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提供①2024年度财务审计报告（成立时间至提交响应文件截止时间不足一年的可提供成立后任意时段的资产负债表）或②其基本存款账户开户银行出具的资信证明及基本存款账户的开户证明；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政府采购严重违法失信行为记录名单中被财政部门禁止参加政府采购活动的供应商（由采购代理机构查询，查询时限为竞争性磋商响应文件递交截止之日）；</w:t>
            </w:r>
          </w:p>
        </w:tc>
        <w:tc>
          <w:tcPr>
            <w:tcW w:type="dxa" w:w="1661"/>
          </w:tcPr>
          <w:p>
            <w:pPr>
              <w:pStyle w:val="null3"/>
            </w:pPr>
            <w:r>
              <w:rPr>
                <w:rFonts w:ascii="仿宋_GB2312" w:hAnsi="仿宋_GB2312" w:cs="仿宋_GB2312" w:eastAsia="仿宋_GB2312"/>
              </w:rPr>
              <w:t>服务内容及服务邀请应答表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法定代表人授权书及被授权人身份证复印件（法定代表人直接参加磋商的须提供其法人身份证复印件），非法人单位参照执行；</w:t>
            </w:r>
          </w:p>
        </w:tc>
        <w:tc>
          <w:tcPr>
            <w:tcW w:type="dxa" w:w="1661"/>
          </w:tcPr>
          <w:p>
            <w:pPr>
              <w:pStyle w:val="null3"/>
            </w:pPr>
            <w:r>
              <w:rPr>
                <w:rFonts w:ascii="仿宋_GB2312" w:hAnsi="仿宋_GB2312" w:cs="仿宋_GB2312" w:eastAsia="仿宋_GB2312"/>
              </w:rPr>
              <w:t>服务内容及服务邀请应答表 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分项报价表-2</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供应商全称</w:t>
            </w:r>
          </w:p>
        </w:tc>
        <w:tc>
          <w:tcPr>
            <w:tcW w:type="dxa" w:w="3322"/>
          </w:tcPr>
          <w:p>
            <w:pPr>
              <w:pStyle w:val="null3"/>
            </w:pPr>
            <w:r>
              <w:rPr>
                <w:rFonts w:ascii="仿宋_GB2312" w:hAnsi="仿宋_GB2312" w:cs="仿宋_GB2312" w:eastAsia="仿宋_GB2312"/>
              </w:rPr>
              <w:t>与营业执照等证明材料一致</w:t>
            </w:r>
          </w:p>
        </w:tc>
        <w:tc>
          <w:tcPr>
            <w:tcW w:type="dxa" w:w="1661"/>
          </w:tcPr>
          <w:p>
            <w:pPr>
              <w:pStyle w:val="null3"/>
            </w:pPr>
            <w:r>
              <w:rPr>
                <w:rFonts w:ascii="仿宋_GB2312" w:hAnsi="仿宋_GB2312" w:cs="仿宋_GB2312" w:eastAsia="仿宋_GB2312"/>
              </w:rPr>
              <w:t>响应文件封面 中小企业声明函 供应商应提交的相关资格证明材料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响应报价表填写符合要求；</w:t>
            </w:r>
          </w:p>
        </w:tc>
        <w:tc>
          <w:tcPr>
            <w:tcW w:type="dxa" w:w="1661"/>
          </w:tcPr>
          <w:p>
            <w:pPr>
              <w:pStyle w:val="null3"/>
            </w:pPr>
            <w:r>
              <w:rPr>
                <w:rFonts w:ascii="仿宋_GB2312" w:hAnsi="仿宋_GB2312" w:cs="仿宋_GB2312" w:eastAsia="仿宋_GB2312"/>
              </w:rPr>
              <w:t>响应文件封面 标的清单 报价表 分项报价表-2</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响应文件有效期符合磋商文件的要求。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服务期限符合磋商文件的要求。</w:t>
            </w:r>
          </w:p>
        </w:tc>
        <w:tc>
          <w:tcPr>
            <w:tcW w:type="dxa" w:w="1661"/>
          </w:tcPr>
          <w:p>
            <w:pPr>
              <w:pStyle w:val="null3"/>
            </w:pPr>
            <w:r>
              <w:rPr>
                <w:rFonts w:ascii="仿宋_GB2312" w:hAnsi="仿宋_GB2312" w:cs="仿宋_GB2312" w:eastAsia="仿宋_GB2312"/>
              </w:rPr>
              <w:t>响应文件封面 标的清单 分项报价表-2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分项报价表-2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针对本项目提供详细的实施方案说明进行评审。 方案全面、合理、规范，可操作性强得 15 分； 方案相对合理和规范，可操作性较强得 12 分； 方案比较合理，有一定的可操作性得 9 分； 方案基本合理，可操作性不强得 6 分； 方案不够合理，可操作性差得 3 分； 缺项得0 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拟投入车辆配备合理的承诺</w:t>
            </w:r>
          </w:p>
        </w:tc>
        <w:tc>
          <w:tcPr>
            <w:tcW w:type="dxa" w:w="2492"/>
          </w:tcPr>
          <w:p>
            <w:pPr>
              <w:pStyle w:val="null3"/>
            </w:pPr>
            <w:r>
              <w:rPr>
                <w:rFonts w:ascii="仿宋_GB2312" w:hAnsi="仿宋_GB2312" w:cs="仿宋_GB2312" w:eastAsia="仿宋_GB2312"/>
              </w:rPr>
              <w:t>提供的承诺需包含每种车辆的①车辆的合法来源证明材料、②使用年限、③ GPS 配置。 每个单项承诺内容完善、合理可行得 3 分； 每个单项承诺内容较完善、可行性一般 2 分； 每个单项承诺内容不全、可行性较差 1 分；缺项得0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供应商具备完善的管理制度，（包括①用车管理制度，②车辆安全管理制度， ③人员管理制度，④档案管理制度，⑤车辆维修保养制度）； 每个单项制度内容完善、合理可行得 4 分； 每个单项制度内容较完善、可行性一般 2 分； 缺项得0 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安全运营管理方案</w:t>
            </w:r>
          </w:p>
        </w:tc>
        <w:tc>
          <w:tcPr>
            <w:tcW w:type="dxa" w:w="2492"/>
          </w:tcPr>
          <w:p>
            <w:pPr>
              <w:pStyle w:val="null3"/>
            </w:pPr>
            <w:r>
              <w:rPr>
                <w:rFonts w:ascii="仿宋_GB2312" w:hAnsi="仿宋_GB2312" w:cs="仿宋_GB2312" w:eastAsia="仿宋_GB2312"/>
              </w:rPr>
              <w:t>供应商具有安全运营管理方案（包括①安全配置、②安全行车、③车辆维护、 ④准点率保证、⑤技术管理、⑥人员培训等）赋分。 每个单项方案思路明晰合理、措施完整、科学、实用、针对性强得 5 分； 每个单项方案思路相对明晰合理、措施相对完整、科学、实用、针对性相对 合理得 4 分； 每个单项分析思路欠明晰欠合理、内容不完整、实用性及针对性不强得 2 分； 缺项得0 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车辆清洁方案</w:t>
            </w:r>
          </w:p>
        </w:tc>
        <w:tc>
          <w:tcPr>
            <w:tcW w:type="dxa" w:w="2492"/>
          </w:tcPr>
          <w:p>
            <w:pPr>
              <w:pStyle w:val="null3"/>
            </w:pPr>
            <w:r>
              <w:rPr>
                <w:rFonts w:ascii="仿宋_GB2312" w:hAnsi="仿宋_GB2312" w:cs="仿宋_GB2312" w:eastAsia="仿宋_GB2312"/>
              </w:rPr>
              <w:t>针对本项目实际情况，提供所租赁车辆的清洁、消毒方案。根据方案的可操作性、是否科学合理、规范进行综合评审。 方案科学规范，可操作性强得 6 分； 方案比较科学规范，可操作性较强得 4 分； 方案基本科学，有一定的可操作性得 2 分； 方案有缺漏，可操作性差得 1 分； 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用车流程</w:t>
            </w:r>
          </w:p>
        </w:tc>
        <w:tc>
          <w:tcPr>
            <w:tcW w:type="dxa" w:w="2492"/>
          </w:tcPr>
          <w:p>
            <w:pPr>
              <w:pStyle w:val="null3"/>
            </w:pPr>
            <w:r>
              <w:rPr>
                <w:rFonts w:ascii="仿宋_GB2312" w:hAnsi="仿宋_GB2312" w:cs="仿宋_GB2312" w:eastAsia="仿宋_GB2312"/>
              </w:rPr>
              <w:t>供应商依据本项目采购内容编制用车流程。 流程全面、具体、可行、科学合理，可操作性强得 10 分； 流程相对全面、具体、可行、科学合理，可操作性较强得 7 分； 流程基本全面、有一定的可行、较为科学合理，得 4 分； 流程不够全面、可行性一般、合理性有待考究，得 1 分；缺项得0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分项报价表-2</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详见附件：分项报价表-2</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