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F3ABC">
      <w:pPr>
        <w:ind w:firstLine="1640" w:firstLineChars="200"/>
        <w:jc w:val="both"/>
        <w:outlineLvl w:val="0"/>
        <w:rPr>
          <w:rFonts w:hint="eastAsia" w:ascii="Arial Unicode MS" w:hAnsi="Arial Unicode MS" w:eastAsia="Arial Unicode MS" w:cs="Arial Unicode MS"/>
          <w:sz w:val="96"/>
          <w:szCs w:val="96"/>
        </w:rPr>
      </w:pPr>
      <w:bookmarkStart w:id="5" w:name="_GoBack"/>
      <w:bookmarkEnd w:id="5"/>
      <w:r>
        <w:rPr>
          <w:rFonts w:hint="eastAsia" w:ascii="Arial Unicode MS" w:hAnsi="Arial Unicode MS" w:eastAsia="Arial Unicode MS" w:cs="Arial Unicode MS"/>
          <w:b/>
          <w:bCs/>
          <w:spacing w:val="-72"/>
          <w:sz w:val="96"/>
          <w:szCs w:val="96"/>
        </w:rPr>
        <w:t>合</w:t>
      </w:r>
      <w:r>
        <w:rPr>
          <w:rFonts w:hint="eastAsia" w:ascii="Arial Unicode MS" w:hAnsi="Arial Unicode MS" w:eastAsia="Arial Unicode MS" w:cs="Arial Unicode MS"/>
          <w:spacing w:val="157"/>
          <w:sz w:val="96"/>
          <w:szCs w:val="96"/>
        </w:rPr>
        <w:t xml:space="preserve">  </w:t>
      </w:r>
      <w:r>
        <w:rPr>
          <w:rFonts w:hint="eastAsia" w:ascii="Arial Unicode MS" w:hAnsi="Arial Unicode MS" w:eastAsia="Arial Unicode MS" w:cs="Arial Unicode MS"/>
          <w:b/>
          <w:bCs/>
          <w:spacing w:val="-72"/>
          <w:sz w:val="96"/>
          <w:szCs w:val="96"/>
        </w:rPr>
        <w:t>同</w:t>
      </w:r>
      <w:r>
        <w:rPr>
          <w:rFonts w:hint="eastAsia" w:ascii="Arial Unicode MS" w:hAnsi="Arial Unicode MS" w:eastAsia="Arial Unicode MS" w:cs="Arial Unicode MS"/>
          <w:spacing w:val="1"/>
          <w:sz w:val="96"/>
          <w:szCs w:val="96"/>
        </w:rPr>
        <w:t xml:space="preserve">   </w:t>
      </w:r>
      <w:r>
        <w:rPr>
          <w:rFonts w:hint="eastAsia" w:ascii="Arial Unicode MS" w:hAnsi="Arial Unicode MS" w:eastAsia="Arial Unicode MS" w:cs="Arial Unicode MS"/>
          <w:b/>
          <w:bCs/>
          <w:spacing w:val="-72"/>
          <w:sz w:val="96"/>
          <w:szCs w:val="96"/>
        </w:rPr>
        <w:t>书</w:t>
      </w:r>
    </w:p>
    <w:p w14:paraId="7FADDEBB">
      <w:pPr>
        <w:pStyle w:val="3"/>
        <w:spacing w:line="560" w:lineRule="exact"/>
      </w:pPr>
    </w:p>
    <w:p w14:paraId="6C49FD26">
      <w:pPr>
        <w:pStyle w:val="3"/>
        <w:spacing w:line="560" w:lineRule="exact"/>
        <w:ind w:firstLine="420" w:firstLineChars="200"/>
      </w:pPr>
    </w:p>
    <w:p w14:paraId="3EC0CC8B">
      <w:pPr>
        <w:spacing w:before="111" w:line="560" w:lineRule="exact"/>
        <w:rPr>
          <w:rFonts w:ascii="宋体" w:hAnsi="宋体" w:eastAsia="宋体" w:cs="宋体"/>
          <w:sz w:val="34"/>
          <w:szCs w:val="34"/>
          <w:lang w:eastAsia="zh-CN"/>
        </w:rPr>
      </w:pPr>
      <w:r>
        <w:rPr>
          <w:rFonts w:ascii="宋体" w:hAnsi="宋体" w:eastAsia="宋体" w:cs="宋体"/>
          <w:b/>
          <w:bCs/>
          <w:spacing w:val="-22"/>
          <w:sz w:val="34"/>
          <w:szCs w:val="34"/>
          <w:lang w:eastAsia="zh-CN"/>
        </w:rPr>
        <w:t>项目名称：</w:t>
      </w:r>
    </w:p>
    <w:p w14:paraId="1011F756">
      <w:pPr>
        <w:pStyle w:val="3"/>
        <w:spacing w:line="560" w:lineRule="exact"/>
        <w:ind w:firstLine="420" w:firstLineChars="200"/>
        <w:rPr>
          <w:lang w:eastAsia="zh-CN"/>
        </w:rPr>
      </w:pPr>
    </w:p>
    <w:p w14:paraId="2A014B09">
      <w:pPr>
        <w:pStyle w:val="3"/>
        <w:spacing w:line="560" w:lineRule="exact"/>
        <w:ind w:firstLine="420" w:firstLineChars="200"/>
        <w:rPr>
          <w:lang w:eastAsia="zh-CN"/>
        </w:rPr>
      </w:pPr>
    </w:p>
    <w:p w14:paraId="540A7C67">
      <w:pPr>
        <w:spacing w:line="560" w:lineRule="exact"/>
        <w:ind w:firstLine="687" w:firstLineChars="200"/>
        <w:rPr>
          <w:rFonts w:ascii="宋体" w:hAnsi="宋体" w:eastAsia="宋体" w:cs="宋体"/>
          <w:b/>
          <w:bCs/>
          <w:spacing w:val="1"/>
          <w:sz w:val="34"/>
          <w:szCs w:val="34"/>
          <w:lang w:eastAsia="zh-CN"/>
        </w:rPr>
      </w:pPr>
    </w:p>
    <w:p w14:paraId="794F1B53">
      <w:pPr>
        <w:spacing w:line="560" w:lineRule="exact"/>
        <w:ind w:firstLine="687" w:firstLineChars="200"/>
        <w:rPr>
          <w:rFonts w:ascii="宋体" w:hAnsi="宋体" w:eastAsia="宋体" w:cs="宋体"/>
          <w:b/>
          <w:bCs/>
          <w:spacing w:val="1"/>
          <w:sz w:val="34"/>
          <w:szCs w:val="34"/>
          <w:lang w:eastAsia="zh-CN"/>
        </w:rPr>
      </w:pPr>
    </w:p>
    <w:p w14:paraId="5FA91C62">
      <w:pPr>
        <w:spacing w:line="560" w:lineRule="exact"/>
        <w:ind w:firstLine="687" w:firstLineChars="200"/>
        <w:rPr>
          <w:rFonts w:ascii="宋体" w:hAnsi="宋体" w:eastAsia="宋体" w:cs="宋体"/>
          <w:sz w:val="34"/>
          <w:szCs w:val="34"/>
          <w:lang w:eastAsia="zh-CN"/>
        </w:rPr>
      </w:pPr>
      <w:r>
        <w:rPr>
          <w:rFonts w:ascii="宋体" w:hAnsi="宋体" w:eastAsia="宋体" w:cs="宋体"/>
          <w:b/>
          <w:bCs/>
          <w:spacing w:val="1"/>
          <w:sz w:val="34"/>
          <w:szCs w:val="34"/>
          <w:lang w:eastAsia="zh-CN"/>
        </w:rPr>
        <w:t>甲方(采购人):</w:t>
      </w:r>
    </w:p>
    <w:p w14:paraId="557A7E57">
      <w:pPr>
        <w:spacing w:line="560" w:lineRule="exact"/>
        <w:ind w:firstLine="735" w:firstLineChars="200"/>
        <w:rPr>
          <w:rFonts w:hint="eastAsia" w:ascii="宋体" w:hAnsi="宋体" w:eastAsia="宋体" w:cs="宋体"/>
          <w:b/>
          <w:bCs/>
          <w:spacing w:val="13"/>
          <w:sz w:val="34"/>
          <w:szCs w:val="34"/>
          <w:lang w:eastAsia="zh-CN"/>
        </w:rPr>
      </w:pPr>
    </w:p>
    <w:p w14:paraId="527E7B73">
      <w:pPr>
        <w:spacing w:line="560" w:lineRule="exact"/>
        <w:ind w:firstLine="735" w:firstLineChars="200"/>
        <w:rPr>
          <w:rFonts w:ascii="宋体" w:hAnsi="宋体" w:eastAsia="宋体" w:cs="宋体"/>
          <w:b/>
          <w:bCs/>
          <w:spacing w:val="13"/>
          <w:sz w:val="34"/>
          <w:szCs w:val="34"/>
          <w:lang w:eastAsia="zh-CN"/>
        </w:rPr>
      </w:pPr>
      <w:r>
        <w:rPr>
          <w:rFonts w:ascii="宋体" w:hAnsi="宋体" w:eastAsia="宋体" w:cs="宋体"/>
          <w:b/>
          <w:bCs/>
          <w:spacing w:val="13"/>
          <w:sz w:val="34"/>
          <w:szCs w:val="34"/>
          <w:lang w:eastAsia="zh-CN"/>
        </w:rPr>
        <w:t>乙方(</w:t>
      </w:r>
      <w:r>
        <w:rPr>
          <w:rFonts w:hint="eastAsia" w:ascii="宋体" w:hAnsi="宋体" w:eastAsia="宋体" w:cs="宋体"/>
          <w:b/>
          <w:bCs/>
          <w:spacing w:val="13"/>
          <w:sz w:val="34"/>
          <w:szCs w:val="34"/>
          <w:lang w:eastAsia="zh-CN"/>
        </w:rPr>
        <w:t>中标</w:t>
      </w:r>
      <w:r>
        <w:rPr>
          <w:rFonts w:ascii="宋体" w:hAnsi="宋体" w:eastAsia="宋体" w:cs="宋体"/>
          <w:b/>
          <w:bCs/>
          <w:spacing w:val="13"/>
          <w:sz w:val="34"/>
          <w:szCs w:val="34"/>
          <w:lang w:eastAsia="zh-CN"/>
        </w:rPr>
        <w:t>人):</w:t>
      </w:r>
    </w:p>
    <w:p w14:paraId="76541813">
      <w:pPr>
        <w:spacing w:line="560" w:lineRule="exact"/>
        <w:ind w:firstLine="691" w:firstLineChars="200"/>
        <w:rPr>
          <w:rFonts w:ascii="宋体" w:hAnsi="宋体" w:eastAsia="宋体" w:cs="宋体"/>
          <w:b/>
          <w:bCs/>
          <w:spacing w:val="2"/>
          <w:sz w:val="34"/>
          <w:szCs w:val="34"/>
          <w:lang w:eastAsia="zh-CN"/>
        </w:rPr>
      </w:pPr>
    </w:p>
    <w:p w14:paraId="53D32BC6">
      <w:pPr>
        <w:rPr>
          <w:rFonts w:hint="eastAsia"/>
        </w:rPr>
      </w:pPr>
    </w:p>
    <w:p w14:paraId="5D9C96DF">
      <w:pPr>
        <w:rPr>
          <w:rFonts w:hint="eastAsia"/>
        </w:rPr>
      </w:pPr>
    </w:p>
    <w:p w14:paraId="7A99A6E4">
      <w:pPr>
        <w:pStyle w:val="2"/>
        <w:numPr>
          <w:ilvl w:val="0"/>
          <w:numId w:val="0"/>
        </w:numPr>
        <w:rPr>
          <w:rFonts w:hint="eastAsia"/>
          <w:lang w:eastAsia="zh-CN"/>
        </w:rPr>
      </w:pPr>
    </w:p>
    <w:p w14:paraId="4E2D5E1E"/>
    <w:p w14:paraId="01321D5A">
      <w:pPr>
        <w:pStyle w:val="3"/>
        <w:spacing w:line="560" w:lineRule="exact"/>
        <w:ind w:firstLine="420" w:firstLineChars="200"/>
        <w:rPr>
          <w:lang w:eastAsia="zh-CN"/>
        </w:rPr>
      </w:pPr>
    </w:p>
    <w:p w14:paraId="16CF319D">
      <w:pPr>
        <w:pStyle w:val="3"/>
        <w:spacing w:line="560" w:lineRule="exact"/>
        <w:ind w:firstLine="420" w:firstLineChars="200"/>
        <w:jc w:val="center"/>
        <w:rPr>
          <w:lang w:eastAsia="zh-CN"/>
        </w:rPr>
      </w:pPr>
    </w:p>
    <w:p w14:paraId="5D473F5E">
      <w:pPr>
        <w:spacing w:line="560" w:lineRule="exact"/>
        <w:ind w:firstLine="1173" w:firstLineChars="400"/>
        <w:jc w:val="both"/>
        <w:rPr>
          <w:rFonts w:ascii="宋体" w:hAnsi="宋体" w:eastAsia="宋体" w:cs="宋体"/>
          <w:b/>
          <w:bCs/>
          <w:spacing w:val="-24"/>
          <w:sz w:val="34"/>
          <w:szCs w:val="34"/>
          <w:lang w:eastAsia="zh-CN"/>
        </w:rPr>
      </w:pPr>
      <w:r>
        <w:rPr>
          <w:rFonts w:ascii="宋体" w:hAnsi="宋体" w:eastAsia="宋体" w:cs="宋体"/>
          <w:b/>
          <w:bCs/>
          <w:spacing w:val="-24"/>
          <w:sz w:val="34"/>
          <w:szCs w:val="34"/>
          <w:lang w:eastAsia="zh-CN"/>
        </w:rPr>
        <w:t>签订日期：</w:t>
      </w:r>
      <w:r>
        <w:rPr>
          <w:rFonts w:hint="eastAsia" w:ascii="宋体" w:hAnsi="宋体" w:eastAsia="宋体" w:cs="宋体"/>
          <w:b/>
          <w:bCs/>
          <w:spacing w:val="-24"/>
          <w:sz w:val="34"/>
          <w:szCs w:val="34"/>
          <w:u w:val="single"/>
          <w:lang w:eastAsia="zh-CN"/>
        </w:rPr>
        <w:t xml:space="preserve">         </w:t>
      </w:r>
      <w:r>
        <w:rPr>
          <w:rFonts w:hint="eastAsia" w:ascii="宋体" w:hAnsi="宋体" w:eastAsia="宋体" w:cs="宋体"/>
          <w:b/>
          <w:bCs/>
          <w:spacing w:val="-24"/>
          <w:sz w:val="34"/>
          <w:szCs w:val="34"/>
          <w:lang w:eastAsia="zh-CN"/>
        </w:rPr>
        <w:t>年</w:t>
      </w:r>
      <w:r>
        <w:rPr>
          <w:rFonts w:hint="eastAsia" w:ascii="宋体" w:hAnsi="宋体" w:eastAsia="宋体" w:cs="宋体"/>
          <w:b/>
          <w:bCs/>
          <w:spacing w:val="-24"/>
          <w:sz w:val="34"/>
          <w:szCs w:val="34"/>
          <w:u w:val="single"/>
          <w:lang w:eastAsia="zh-CN"/>
        </w:rPr>
        <w:t xml:space="preserve">       </w:t>
      </w:r>
      <w:r>
        <w:rPr>
          <w:rFonts w:ascii="宋体" w:hAnsi="宋体" w:eastAsia="宋体" w:cs="宋体"/>
          <w:b/>
          <w:bCs/>
          <w:spacing w:val="-24"/>
          <w:sz w:val="34"/>
          <w:szCs w:val="34"/>
          <w:lang w:eastAsia="zh-CN"/>
        </w:rPr>
        <w:t>月</w:t>
      </w:r>
      <w:r>
        <w:rPr>
          <w:rFonts w:hint="eastAsia" w:ascii="宋体" w:hAnsi="宋体" w:eastAsia="宋体" w:cs="宋体"/>
          <w:b/>
          <w:bCs/>
          <w:spacing w:val="-24"/>
          <w:sz w:val="34"/>
          <w:szCs w:val="34"/>
          <w:u w:val="single"/>
          <w:lang w:eastAsia="zh-CN"/>
        </w:rPr>
        <w:t xml:space="preserve">       </w:t>
      </w:r>
      <w:r>
        <w:rPr>
          <w:rFonts w:hint="eastAsia" w:ascii="宋体" w:hAnsi="宋体" w:eastAsia="宋体" w:cs="宋体"/>
          <w:b/>
          <w:bCs/>
          <w:spacing w:val="-24"/>
          <w:sz w:val="34"/>
          <w:szCs w:val="34"/>
          <w:lang w:eastAsia="zh-CN"/>
        </w:rPr>
        <w:t>日</w:t>
      </w:r>
    </w:p>
    <w:p w14:paraId="07DB8C4B">
      <w:pPr>
        <w:spacing w:before="111" w:line="560" w:lineRule="exact"/>
        <w:ind w:left="2744" w:firstLine="587" w:firstLineChars="200"/>
        <w:jc w:val="center"/>
        <w:rPr>
          <w:rFonts w:ascii="宋体" w:hAnsi="宋体" w:eastAsia="宋体" w:cs="宋体"/>
          <w:b/>
          <w:bCs/>
          <w:spacing w:val="-24"/>
          <w:sz w:val="34"/>
          <w:szCs w:val="34"/>
          <w:lang w:eastAsia="zh-CN"/>
        </w:rPr>
        <w:sectPr>
          <w:pgSz w:w="11900" w:h="16820"/>
          <w:pgMar w:top="2098" w:right="1474" w:bottom="1984" w:left="1587" w:header="0" w:footer="1134" w:gutter="0"/>
          <w:cols w:space="720" w:num="1"/>
        </w:sectPr>
      </w:pPr>
    </w:p>
    <w:p w14:paraId="29489900">
      <w:pPr>
        <w:spacing w:line="600" w:lineRule="exact"/>
        <w:ind w:right="86"/>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承租方（甲方）：</w:t>
      </w:r>
    </w:p>
    <w:p w14:paraId="031B94F9">
      <w:pPr>
        <w:spacing w:line="600" w:lineRule="exact"/>
        <w:ind w:right="86"/>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出租方（乙方）：</w:t>
      </w:r>
    </w:p>
    <w:p w14:paraId="16A18126">
      <w:pPr>
        <w:spacing w:line="600" w:lineRule="exact"/>
        <w:ind w:right="86" w:firstLine="648" w:firstLineChars="200"/>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本合同由甲、乙双方根据《中华人民共和国政府采购法》《中华人民共和国政府采购法实施条例》《中华人民共和国民法典》等相关法律法规规定，按平等自愿、诚实信用的原则拟定，甲、乙双方均应遵守法律规定和合同约定，并各自履行应负的全部责任和义务。</w:t>
      </w:r>
    </w:p>
    <w:p w14:paraId="1E0F72E3">
      <w:pPr>
        <w:spacing w:line="600" w:lineRule="exact"/>
        <w:ind w:firstLine="596" w:firstLineChars="200"/>
        <w:outlineLvl w:val="0"/>
        <w:rPr>
          <w:rFonts w:hint="eastAsia" w:ascii="黑体" w:hAnsi="黑体" w:eastAsia="黑体" w:cs="黑体"/>
          <w:sz w:val="32"/>
          <w:szCs w:val="32"/>
          <w:lang w:eastAsia="zh-CN"/>
        </w:rPr>
      </w:pPr>
      <w:r>
        <w:rPr>
          <w:rFonts w:hint="eastAsia" w:ascii="黑体" w:hAnsi="黑体" w:eastAsia="黑体" w:cs="黑体"/>
          <w:spacing w:val="-11"/>
          <w:sz w:val="32"/>
          <w:szCs w:val="32"/>
          <w:lang w:eastAsia="zh-CN"/>
        </w:rPr>
        <w:t>一</w:t>
      </w:r>
      <w:r>
        <w:rPr>
          <w:rFonts w:hint="eastAsia" w:ascii="黑体" w:hAnsi="黑体" w:eastAsia="黑体" w:cs="黑体"/>
          <w:spacing w:val="-73"/>
          <w:sz w:val="32"/>
          <w:szCs w:val="32"/>
          <w:lang w:eastAsia="zh-CN"/>
        </w:rPr>
        <w:t xml:space="preserve"> </w:t>
      </w:r>
      <w:r>
        <w:rPr>
          <w:rFonts w:hint="eastAsia" w:ascii="黑体" w:hAnsi="黑体" w:eastAsia="黑体" w:cs="黑体"/>
          <w:spacing w:val="-11"/>
          <w:sz w:val="32"/>
          <w:szCs w:val="32"/>
          <w:lang w:eastAsia="zh-CN"/>
        </w:rPr>
        <w:t>、项目基本情况</w:t>
      </w:r>
    </w:p>
    <w:p w14:paraId="36FEEA33">
      <w:pPr>
        <w:spacing w:line="600" w:lineRule="exact"/>
        <w:ind w:firstLine="648" w:firstLineChars="200"/>
        <w:rPr>
          <w:rFonts w:hint="eastAsia" w:ascii="仿宋_GB2312" w:hAnsi="仿宋_GB2312" w:eastAsia="仿宋_GB2312" w:cs="仿宋_GB2312"/>
          <w:color w:val="auto"/>
          <w:spacing w:val="2"/>
          <w:sz w:val="32"/>
          <w:szCs w:val="32"/>
          <w:lang w:eastAsia="zh-CN"/>
        </w:rPr>
      </w:pPr>
      <w:r>
        <w:rPr>
          <w:rFonts w:hint="eastAsia" w:ascii="楷体_GB2312" w:hAnsi="楷体_GB2312" w:eastAsia="楷体_GB2312" w:cs="楷体_GB2312"/>
          <w:spacing w:val="2"/>
          <w:sz w:val="32"/>
          <w:szCs w:val="32"/>
          <w:lang w:eastAsia="zh-CN"/>
        </w:rPr>
        <w:t>1.项目名称：</w:t>
      </w:r>
      <w:r>
        <w:rPr>
          <w:rFonts w:hint="eastAsia" w:ascii="仿宋_GB2312" w:hAnsi="仿宋_GB2312" w:eastAsia="仿宋_GB2312" w:cs="仿宋_GB2312"/>
          <w:color w:val="auto"/>
          <w:spacing w:val="2"/>
          <w:sz w:val="32"/>
          <w:szCs w:val="32"/>
          <w:lang w:eastAsia="zh-CN"/>
        </w:rPr>
        <w:t xml:space="preserve">综合保障平台新能源租赁运行项目 （下称：本项目）                                                                                                                       </w:t>
      </w:r>
    </w:p>
    <w:p w14:paraId="6617199D">
      <w:pPr>
        <w:spacing w:line="600" w:lineRule="exact"/>
        <w:ind w:firstLine="648" w:firstLineChars="200"/>
        <w:outlineLvl w:val="0"/>
        <w:rPr>
          <w:rFonts w:hint="eastAsia" w:ascii="仿宋_GB2312" w:hAnsi="仿宋_GB2312" w:eastAsia="仿宋_GB2312" w:cs="仿宋_GB2312"/>
          <w:spacing w:val="2"/>
          <w:sz w:val="32"/>
          <w:szCs w:val="32"/>
          <w:lang w:eastAsia="zh-CN"/>
        </w:rPr>
      </w:pPr>
      <w:r>
        <w:rPr>
          <w:rFonts w:hint="eastAsia" w:ascii="楷体_GB2312" w:hAnsi="楷体_GB2312" w:eastAsia="楷体_GB2312" w:cs="楷体_GB2312"/>
          <w:color w:val="auto"/>
          <w:spacing w:val="2"/>
          <w:sz w:val="32"/>
          <w:szCs w:val="32"/>
          <w:lang w:eastAsia="zh-CN"/>
        </w:rPr>
        <w:t>2.项目概况：</w:t>
      </w:r>
      <w:r>
        <w:rPr>
          <w:rFonts w:hint="eastAsia" w:ascii="仿宋_GB2312" w:hAnsi="仿宋_GB2312" w:eastAsia="仿宋_GB2312" w:cs="仿宋_GB2312"/>
          <w:color w:val="auto"/>
          <w:spacing w:val="2"/>
          <w:sz w:val="32"/>
          <w:szCs w:val="32"/>
          <w:lang w:eastAsia="zh-CN"/>
        </w:rPr>
        <w:t>本项</w:t>
      </w:r>
      <w:r>
        <w:rPr>
          <w:rFonts w:hint="eastAsia" w:ascii="仿宋_GB2312" w:hAnsi="仿宋_GB2312" w:eastAsia="仿宋_GB2312" w:cs="仿宋_GB2312"/>
          <w:spacing w:val="2"/>
          <w:sz w:val="32"/>
          <w:szCs w:val="32"/>
          <w:lang w:eastAsia="zh-CN"/>
        </w:rPr>
        <w:t>目按照购买服务方式进行合同签订，招标金额为:</w:t>
      </w:r>
      <w:r>
        <w:rPr>
          <w:rFonts w:hint="eastAsia" w:ascii="仿宋_GB2312" w:hAnsi="仿宋_GB2312" w:eastAsia="仿宋_GB2312" w:cs="仿宋_GB2312"/>
          <w:spacing w:val="2"/>
          <w:sz w:val="32"/>
          <w:szCs w:val="32"/>
          <w:u w:val="single"/>
          <w:lang w:eastAsia="zh-CN"/>
        </w:rPr>
        <w:t xml:space="preserve"> 29.</w:t>
      </w:r>
      <w:r>
        <w:rPr>
          <w:rFonts w:hint="eastAsia" w:ascii="仿宋_GB2312" w:hAnsi="仿宋_GB2312" w:eastAsia="仿宋_GB2312" w:cs="仿宋_GB2312"/>
          <w:spacing w:val="2"/>
          <w:sz w:val="32"/>
          <w:szCs w:val="32"/>
          <w:u w:val="single"/>
          <w:lang w:val="en-US" w:eastAsia="zh-CN"/>
        </w:rPr>
        <w:t>2</w:t>
      </w:r>
      <w:r>
        <w:rPr>
          <w:rFonts w:hint="eastAsia" w:ascii="仿宋_GB2312" w:hAnsi="仿宋_GB2312" w:eastAsia="仿宋_GB2312" w:cs="仿宋_GB2312"/>
          <w:spacing w:val="2"/>
          <w:sz w:val="32"/>
          <w:szCs w:val="32"/>
          <w:u w:val="single"/>
          <w:lang w:eastAsia="zh-CN"/>
        </w:rPr>
        <w:t xml:space="preserve">万元 </w:t>
      </w:r>
      <w:r>
        <w:rPr>
          <w:rFonts w:hint="eastAsia" w:ascii="仿宋_GB2312" w:hAnsi="仿宋_GB2312" w:eastAsia="仿宋_GB2312" w:cs="仿宋_GB2312"/>
          <w:spacing w:val="2"/>
          <w:sz w:val="32"/>
          <w:szCs w:val="32"/>
          <w:lang w:eastAsia="zh-CN"/>
        </w:rPr>
        <w:t xml:space="preserve">。 </w:t>
      </w:r>
    </w:p>
    <w:p w14:paraId="35D80E02">
      <w:pPr>
        <w:spacing w:line="600" w:lineRule="exact"/>
        <w:ind w:firstLine="596" w:firstLineChars="200"/>
        <w:outlineLvl w:val="0"/>
        <w:rPr>
          <w:rFonts w:hint="eastAsia" w:ascii="黑体" w:hAnsi="黑体" w:eastAsia="黑体" w:cs="黑体"/>
          <w:spacing w:val="-11"/>
          <w:sz w:val="32"/>
          <w:szCs w:val="32"/>
          <w:lang w:eastAsia="zh-CN"/>
        </w:rPr>
      </w:pPr>
      <w:r>
        <w:rPr>
          <w:rFonts w:hint="eastAsia" w:ascii="黑体" w:hAnsi="黑体" w:eastAsia="黑体" w:cs="黑体"/>
          <w:spacing w:val="-11"/>
          <w:sz w:val="32"/>
          <w:szCs w:val="32"/>
          <w:lang w:eastAsia="zh-CN"/>
        </w:rPr>
        <w:t>二 、合同服务时间</w:t>
      </w:r>
    </w:p>
    <w:p w14:paraId="2D2D9CC8">
      <w:pPr>
        <w:spacing w:line="600" w:lineRule="exact"/>
        <w:ind w:firstLine="648" w:firstLineChars="200"/>
        <w:rPr>
          <w:rFonts w:hint="default" w:eastAsia="仿宋_GB2312"/>
          <w:color w:val="00B0F0"/>
          <w:u w:val="single"/>
          <w:lang w:val="en-US" w:eastAsia="zh-CN"/>
        </w:rPr>
      </w:pPr>
      <w:r>
        <w:rPr>
          <w:rFonts w:hint="eastAsia" w:ascii="仿宋_GB2312" w:hAnsi="仿宋_GB2312" w:eastAsia="仿宋_GB2312" w:cs="仿宋_GB2312"/>
          <w:spacing w:val="2"/>
          <w:sz w:val="32"/>
          <w:szCs w:val="32"/>
          <w:lang w:eastAsia="zh-CN"/>
        </w:rPr>
        <w:t>合同履行期限自合同签订之日起一年，</w:t>
      </w:r>
      <w:r>
        <w:rPr>
          <w:rFonts w:hint="eastAsia" w:ascii="仿宋_GB2312" w:hAnsi="仿宋_GB2312" w:eastAsia="仿宋_GB2312" w:cs="仿宋_GB2312"/>
          <w:spacing w:val="2"/>
          <w:sz w:val="32"/>
          <w:szCs w:val="32"/>
          <w:lang w:val="en-US" w:eastAsia="zh-CN"/>
        </w:rPr>
        <w:t>2025年</w:t>
      </w:r>
      <w:r>
        <w:rPr>
          <w:rFonts w:hint="eastAsia" w:ascii="仿宋_GB2312" w:hAnsi="仿宋_GB2312" w:eastAsia="仿宋_GB2312" w:cs="仿宋_GB2312"/>
          <w:spacing w:val="2"/>
          <w:sz w:val="32"/>
          <w:szCs w:val="32"/>
          <w:u w:val="single"/>
          <w:lang w:val="en-US" w:eastAsia="zh-CN"/>
        </w:rPr>
        <w:t xml:space="preserve">     月     日至2026年     月      日。</w:t>
      </w:r>
    </w:p>
    <w:p w14:paraId="3E8F5F76">
      <w:pPr>
        <w:numPr>
          <w:ilvl w:val="0"/>
          <w:numId w:val="2"/>
        </w:numPr>
        <w:spacing w:line="600" w:lineRule="exact"/>
        <w:ind w:firstLine="596" w:firstLineChars="200"/>
        <w:outlineLvl w:val="0"/>
        <w:rPr>
          <w:rFonts w:hint="eastAsia" w:ascii="黑体" w:hAnsi="黑体" w:eastAsia="黑体" w:cs="黑体"/>
          <w:spacing w:val="-11"/>
          <w:sz w:val="32"/>
          <w:szCs w:val="32"/>
          <w:lang w:eastAsia="zh-CN"/>
        </w:rPr>
      </w:pPr>
      <w:r>
        <w:rPr>
          <w:rFonts w:hint="eastAsia" w:ascii="黑体" w:hAnsi="黑体" w:eastAsia="黑体" w:cs="黑体"/>
          <w:spacing w:val="-11"/>
          <w:sz w:val="32"/>
          <w:szCs w:val="32"/>
          <w:lang w:eastAsia="zh-CN"/>
        </w:rPr>
        <w:t>项目内容及价格</w:t>
      </w:r>
    </w:p>
    <w:p w14:paraId="7A29F6F4">
      <w:pPr>
        <w:spacing w:line="600" w:lineRule="exact"/>
        <w:ind w:firstLine="648" w:firstLineChars="200"/>
        <w:outlineLvl w:val="0"/>
        <w:rPr>
          <w:rFonts w:hint="eastAsia" w:ascii="楷体_GB2312" w:hAnsi="楷体_GB2312" w:eastAsia="楷体_GB2312" w:cs="楷体_GB2312"/>
          <w:spacing w:val="2"/>
          <w:sz w:val="32"/>
          <w:szCs w:val="32"/>
          <w:lang w:eastAsia="zh-CN"/>
        </w:rPr>
      </w:pPr>
      <w:r>
        <w:rPr>
          <w:rFonts w:hint="eastAsia" w:ascii="楷体_GB2312" w:hAnsi="楷体_GB2312" w:eastAsia="楷体_GB2312" w:cs="楷体_GB2312"/>
          <w:spacing w:val="2"/>
          <w:sz w:val="32"/>
          <w:szCs w:val="32"/>
          <w:lang w:val="en-US" w:eastAsia="zh-CN"/>
        </w:rPr>
        <w:t>1</w:t>
      </w:r>
      <w:r>
        <w:rPr>
          <w:rFonts w:hint="eastAsia" w:ascii="楷体_GB2312" w:hAnsi="楷体_GB2312" w:eastAsia="楷体_GB2312" w:cs="楷体_GB2312"/>
          <w:spacing w:val="2"/>
          <w:sz w:val="32"/>
          <w:szCs w:val="32"/>
          <w:lang w:eastAsia="zh-CN"/>
        </w:rPr>
        <w:t>.车辆规格和使用服务费控制价格表（最高限价）</w:t>
      </w:r>
    </w:p>
    <w:tbl>
      <w:tblPr>
        <w:tblStyle w:val="6"/>
        <w:tblpPr w:leftFromText="180" w:rightFromText="180" w:vertAnchor="text" w:horzAnchor="page" w:tblpX="1771" w:tblpY="66"/>
        <w:tblOverlap w:val="never"/>
        <w:tblW w:w="87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
        <w:gridCol w:w="959"/>
        <w:gridCol w:w="750"/>
        <w:gridCol w:w="1416"/>
        <w:gridCol w:w="917"/>
        <w:gridCol w:w="805"/>
        <w:gridCol w:w="1112"/>
        <w:gridCol w:w="1152"/>
        <w:gridCol w:w="1209"/>
      </w:tblGrid>
      <w:tr w14:paraId="60929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461" w:type="dxa"/>
            <w:noWrap w:val="0"/>
            <w:vAlign w:val="center"/>
          </w:tcPr>
          <w:p w14:paraId="7417B69B">
            <w:pPr>
              <w:jc w:val="center"/>
              <w:textAlignment w:val="center"/>
              <w:rPr>
                <w:rFonts w:ascii="Times New Roman" w:hAnsi="Times New Roman" w:eastAsia="宋体" w:cs="Times New Roman"/>
                <w:color w:val="auto"/>
                <w:kern w:val="2"/>
                <w:lang w:eastAsia="zh-CN"/>
              </w:rPr>
            </w:pPr>
            <w:r>
              <w:rPr>
                <w:rFonts w:ascii="Times New Roman" w:hAnsi="宋体" w:eastAsia="宋体" w:cs="Times New Roman"/>
                <w:color w:val="auto"/>
                <w:kern w:val="2"/>
                <w:lang w:eastAsia="zh-CN"/>
              </w:rPr>
              <w:t>序号</w:t>
            </w:r>
          </w:p>
        </w:tc>
        <w:tc>
          <w:tcPr>
            <w:tcW w:w="959" w:type="dxa"/>
            <w:noWrap w:val="0"/>
            <w:vAlign w:val="center"/>
          </w:tcPr>
          <w:p w14:paraId="15AEF6F4">
            <w:pPr>
              <w:jc w:val="center"/>
              <w:textAlignment w:val="center"/>
              <w:rPr>
                <w:rFonts w:ascii="Times New Roman" w:hAnsi="Times New Roman" w:eastAsia="宋体" w:cs="Times New Roman"/>
                <w:color w:val="auto"/>
                <w:kern w:val="2"/>
                <w:lang w:eastAsia="zh-CN"/>
              </w:rPr>
            </w:pPr>
            <w:r>
              <w:rPr>
                <w:rFonts w:ascii="Times New Roman" w:hAnsi="宋体" w:eastAsia="宋体" w:cs="Times New Roman"/>
                <w:color w:val="auto"/>
                <w:kern w:val="2"/>
                <w:lang w:eastAsia="zh-CN"/>
              </w:rPr>
              <w:t>车型</w:t>
            </w:r>
          </w:p>
        </w:tc>
        <w:tc>
          <w:tcPr>
            <w:tcW w:w="750" w:type="dxa"/>
            <w:noWrap w:val="0"/>
            <w:vAlign w:val="center"/>
          </w:tcPr>
          <w:p w14:paraId="1A46C524">
            <w:pPr>
              <w:jc w:val="center"/>
              <w:textAlignment w:val="center"/>
              <w:rPr>
                <w:rFonts w:ascii="Times New Roman" w:hAnsi="Times New Roman" w:eastAsia="宋体" w:cs="Times New Roman"/>
                <w:color w:val="auto"/>
                <w:kern w:val="2"/>
                <w:lang w:eastAsia="zh-CN"/>
              </w:rPr>
            </w:pPr>
            <w:r>
              <w:rPr>
                <w:rFonts w:ascii="Times New Roman" w:hAnsi="宋体" w:eastAsia="宋体" w:cs="Times New Roman"/>
                <w:color w:val="auto"/>
                <w:kern w:val="2"/>
                <w:lang w:eastAsia="zh-CN"/>
              </w:rPr>
              <w:t>车辆价格</w:t>
            </w:r>
          </w:p>
        </w:tc>
        <w:tc>
          <w:tcPr>
            <w:tcW w:w="1416" w:type="dxa"/>
            <w:noWrap w:val="0"/>
            <w:vAlign w:val="center"/>
          </w:tcPr>
          <w:p w14:paraId="4E57B51A">
            <w:pPr>
              <w:jc w:val="center"/>
              <w:textAlignment w:val="center"/>
              <w:rPr>
                <w:rFonts w:hint="eastAsia" w:ascii="Times New Roman" w:hAnsi="宋体" w:eastAsia="宋体" w:cs="Times New Roman"/>
                <w:color w:val="auto"/>
                <w:kern w:val="2"/>
                <w:lang w:eastAsia="zh-CN"/>
              </w:rPr>
            </w:pPr>
            <w:r>
              <w:rPr>
                <w:rFonts w:ascii="Times New Roman" w:hAnsi="宋体" w:eastAsia="宋体" w:cs="Times New Roman"/>
                <w:color w:val="auto"/>
                <w:kern w:val="2"/>
                <w:lang w:eastAsia="zh-CN"/>
              </w:rPr>
              <w:t>规格型号</w:t>
            </w:r>
          </w:p>
          <w:p w14:paraId="4A8791B5">
            <w:pPr>
              <w:jc w:val="center"/>
              <w:textAlignment w:val="center"/>
              <w:rPr>
                <w:rFonts w:ascii="Times New Roman" w:hAnsi="Times New Roman" w:eastAsia="宋体" w:cs="Times New Roman"/>
                <w:color w:val="auto"/>
                <w:kern w:val="2"/>
                <w:lang w:eastAsia="zh-CN"/>
              </w:rPr>
            </w:pPr>
            <w:r>
              <w:rPr>
                <w:rFonts w:ascii="Times New Roman" w:hAnsi="宋体" w:eastAsia="宋体" w:cs="Times New Roman"/>
                <w:color w:val="auto"/>
                <w:kern w:val="2"/>
                <w:sz w:val="18"/>
                <w:szCs w:val="18"/>
                <w:lang w:eastAsia="zh-CN"/>
              </w:rPr>
              <w:t>（长</w:t>
            </w:r>
            <w:r>
              <w:rPr>
                <w:rFonts w:ascii="Times New Roman" w:hAnsi="Times New Roman" w:eastAsia="宋体" w:cs="Times New Roman"/>
                <w:color w:val="auto"/>
                <w:kern w:val="2"/>
                <w:sz w:val="18"/>
                <w:szCs w:val="18"/>
                <w:lang w:eastAsia="zh-CN"/>
              </w:rPr>
              <w:t>×</w:t>
            </w:r>
            <w:r>
              <w:rPr>
                <w:rFonts w:ascii="Times New Roman" w:hAnsi="宋体" w:eastAsia="宋体" w:cs="Times New Roman"/>
                <w:color w:val="auto"/>
                <w:kern w:val="2"/>
                <w:sz w:val="18"/>
                <w:szCs w:val="18"/>
                <w:lang w:eastAsia="zh-CN"/>
              </w:rPr>
              <w:t>宽</w:t>
            </w:r>
            <w:r>
              <w:rPr>
                <w:rFonts w:ascii="Times New Roman" w:hAnsi="Times New Roman" w:eastAsia="宋体" w:cs="Times New Roman"/>
                <w:color w:val="auto"/>
                <w:kern w:val="2"/>
                <w:sz w:val="18"/>
                <w:szCs w:val="18"/>
                <w:lang w:eastAsia="zh-CN"/>
              </w:rPr>
              <w:t>×</w:t>
            </w:r>
            <w:r>
              <w:rPr>
                <w:rFonts w:ascii="Times New Roman" w:hAnsi="宋体" w:eastAsia="宋体" w:cs="Times New Roman"/>
                <w:color w:val="auto"/>
                <w:kern w:val="2"/>
                <w:sz w:val="18"/>
                <w:szCs w:val="18"/>
                <w:lang w:eastAsia="zh-CN"/>
              </w:rPr>
              <w:t>高）</w:t>
            </w:r>
          </w:p>
        </w:tc>
        <w:tc>
          <w:tcPr>
            <w:tcW w:w="917" w:type="dxa"/>
            <w:noWrap w:val="0"/>
            <w:vAlign w:val="center"/>
          </w:tcPr>
          <w:p w14:paraId="3472B367">
            <w:pPr>
              <w:jc w:val="center"/>
              <w:textAlignment w:val="center"/>
              <w:rPr>
                <w:rFonts w:ascii="Times New Roman" w:hAnsi="Times New Roman" w:eastAsia="宋体" w:cs="Times New Roman"/>
                <w:color w:val="auto"/>
                <w:kern w:val="2"/>
                <w:lang w:eastAsia="zh-CN"/>
              </w:rPr>
            </w:pPr>
            <w:r>
              <w:rPr>
                <w:rFonts w:ascii="Times New Roman" w:hAnsi="宋体" w:eastAsia="宋体" w:cs="Times New Roman"/>
                <w:color w:val="auto"/>
                <w:kern w:val="2"/>
                <w:lang w:eastAsia="zh-CN"/>
              </w:rPr>
              <w:t>续航里程</w:t>
            </w:r>
          </w:p>
        </w:tc>
        <w:tc>
          <w:tcPr>
            <w:tcW w:w="805" w:type="dxa"/>
            <w:noWrap w:val="0"/>
            <w:vAlign w:val="center"/>
          </w:tcPr>
          <w:p w14:paraId="6CC826A0">
            <w:pPr>
              <w:jc w:val="center"/>
              <w:textAlignment w:val="center"/>
              <w:rPr>
                <w:rFonts w:ascii="Times New Roman" w:hAnsi="Times New Roman" w:eastAsia="宋体" w:cs="Times New Roman"/>
                <w:color w:val="auto"/>
                <w:kern w:val="2"/>
                <w:lang w:eastAsia="zh-CN"/>
              </w:rPr>
            </w:pPr>
            <w:r>
              <w:rPr>
                <w:rFonts w:ascii="Times New Roman" w:hAnsi="宋体" w:eastAsia="宋体" w:cs="Times New Roman"/>
                <w:color w:val="auto"/>
                <w:kern w:val="2"/>
                <w:lang w:eastAsia="zh-CN"/>
              </w:rPr>
              <w:t>数量</w:t>
            </w:r>
          </w:p>
        </w:tc>
        <w:tc>
          <w:tcPr>
            <w:tcW w:w="1112" w:type="dxa"/>
            <w:noWrap w:val="0"/>
            <w:vAlign w:val="center"/>
          </w:tcPr>
          <w:p w14:paraId="1CB43B54">
            <w:pPr>
              <w:jc w:val="center"/>
              <w:textAlignment w:val="center"/>
              <w:rPr>
                <w:rFonts w:ascii="Times New Roman" w:hAnsi="Times New Roman" w:eastAsia="宋体" w:cs="Times New Roman"/>
                <w:color w:val="auto"/>
                <w:kern w:val="2"/>
                <w:lang w:eastAsia="zh-CN"/>
              </w:rPr>
            </w:pPr>
            <w:r>
              <w:rPr>
                <w:rFonts w:ascii="Times New Roman" w:hAnsi="宋体" w:eastAsia="宋体" w:cs="Times New Roman"/>
                <w:color w:val="auto"/>
                <w:kern w:val="2"/>
                <w:lang w:eastAsia="zh-CN"/>
              </w:rPr>
              <w:t>颜色</w:t>
            </w:r>
          </w:p>
        </w:tc>
        <w:tc>
          <w:tcPr>
            <w:tcW w:w="1152" w:type="dxa"/>
            <w:noWrap w:val="0"/>
            <w:vAlign w:val="center"/>
          </w:tcPr>
          <w:p w14:paraId="6D2C046A">
            <w:pPr>
              <w:jc w:val="center"/>
              <w:textAlignment w:val="center"/>
              <w:rPr>
                <w:rFonts w:ascii="Times New Roman" w:hAnsi="Times New Roman" w:eastAsia="宋体" w:cs="Times New Roman"/>
                <w:color w:val="auto"/>
                <w:kern w:val="2"/>
                <w:lang w:eastAsia="zh-CN"/>
              </w:rPr>
            </w:pPr>
            <w:r>
              <w:rPr>
                <w:rFonts w:ascii="Times New Roman" w:hAnsi="宋体" w:eastAsia="宋体" w:cs="Times New Roman"/>
                <w:color w:val="auto"/>
                <w:kern w:val="2"/>
                <w:lang w:eastAsia="zh-CN"/>
              </w:rPr>
              <w:t>使用服务费</w:t>
            </w:r>
            <w:r>
              <w:rPr>
                <w:rFonts w:hint="eastAsia" w:ascii="Times New Roman" w:hAnsi="宋体" w:eastAsia="宋体" w:cs="Times New Roman"/>
                <w:color w:val="auto"/>
                <w:kern w:val="2"/>
                <w:lang w:val="en-US" w:eastAsia="zh-CN"/>
              </w:rPr>
              <w:t>/</w:t>
            </w:r>
            <w:r>
              <w:rPr>
                <w:rFonts w:hint="eastAsia" w:ascii="Times New Roman" w:hAnsi="宋体" w:eastAsia="宋体" w:cs="Times New Roman"/>
                <w:color w:val="auto"/>
                <w:kern w:val="2"/>
                <w:lang w:eastAsia="zh-CN"/>
              </w:rPr>
              <w:t>月</w:t>
            </w:r>
          </w:p>
        </w:tc>
        <w:tc>
          <w:tcPr>
            <w:tcW w:w="1209" w:type="dxa"/>
            <w:noWrap w:val="0"/>
            <w:vAlign w:val="center"/>
          </w:tcPr>
          <w:p w14:paraId="4E5017E5">
            <w:pPr>
              <w:jc w:val="center"/>
              <w:textAlignment w:val="center"/>
              <w:rPr>
                <w:rFonts w:hint="default" w:ascii="Times New Roman" w:hAnsi="Times New Roman" w:eastAsia="宋体" w:cs="Times New Roman"/>
                <w:color w:val="auto"/>
                <w:kern w:val="2"/>
                <w:lang w:val="en-US" w:eastAsia="zh-CN"/>
              </w:rPr>
            </w:pPr>
            <w:r>
              <w:rPr>
                <w:rFonts w:hint="eastAsia" w:ascii="Times New Roman" w:hAnsi="宋体" w:eastAsia="宋体" w:cs="Times New Roman"/>
                <w:color w:val="auto"/>
                <w:kern w:val="2"/>
                <w:lang w:val="en-US" w:eastAsia="zh-CN"/>
              </w:rPr>
              <w:t>预估</w:t>
            </w:r>
            <w:r>
              <w:rPr>
                <w:rFonts w:ascii="Times New Roman" w:hAnsi="宋体" w:eastAsia="宋体" w:cs="Times New Roman"/>
                <w:color w:val="auto"/>
                <w:kern w:val="2"/>
                <w:lang w:eastAsia="zh-CN"/>
              </w:rPr>
              <w:t>运行维护服务费</w:t>
            </w:r>
            <w:r>
              <w:rPr>
                <w:rFonts w:hint="eastAsia" w:ascii="Times New Roman" w:hAnsi="宋体" w:eastAsia="宋体" w:cs="Times New Roman"/>
                <w:color w:val="auto"/>
                <w:kern w:val="2"/>
                <w:lang w:val="en-US" w:eastAsia="zh-CN"/>
              </w:rPr>
              <w:t>/月</w:t>
            </w:r>
          </w:p>
        </w:tc>
      </w:tr>
      <w:tr w14:paraId="7C173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 w:type="dxa"/>
            <w:noWrap w:val="0"/>
            <w:vAlign w:val="center"/>
          </w:tcPr>
          <w:p w14:paraId="26AA5732">
            <w:pPr>
              <w:widowControl w:val="0"/>
              <w:tabs>
                <w:tab w:val="left" w:pos="0"/>
              </w:tabs>
              <w:spacing w:line="500" w:lineRule="exact"/>
              <w:jc w:val="center"/>
              <w:rPr>
                <w:rFonts w:ascii="Times New Roman" w:hAnsi="Times New Roman" w:eastAsia="宋体" w:cs="Times New Roman"/>
                <w:color w:val="auto"/>
                <w:kern w:val="2"/>
                <w:lang w:eastAsia="zh-CN"/>
              </w:rPr>
            </w:pPr>
            <w:r>
              <w:rPr>
                <w:rFonts w:ascii="Times New Roman" w:hAnsi="Times New Roman" w:eastAsia="宋体" w:cs="Times New Roman"/>
                <w:color w:val="auto"/>
                <w:kern w:val="2"/>
                <w:lang w:eastAsia="zh-CN"/>
              </w:rPr>
              <w:t>1</w:t>
            </w:r>
          </w:p>
        </w:tc>
        <w:tc>
          <w:tcPr>
            <w:tcW w:w="959" w:type="dxa"/>
            <w:noWrap w:val="0"/>
            <w:vAlign w:val="center"/>
          </w:tcPr>
          <w:p w14:paraId="1B3A3B04">
            <w:pPr>
              <w:jc w:val="center"/>
              <w:textAlignment w:val="center"/>
              <w:rPr>
                <w:rFonts w:ascii="Times New Roman" w:hAnsi="Times New Roman" w:eastAsia="宋体" w:cs="Times New Roman"/>
                <w:color w:val="auto"/>
                <w:kern w:val="2"/>
                <w:lang w:eastAsia="zh-CN"/>
              </w:rPr>
            </w:pPr>
            <w:r>
              <w:rPr>
                <w:rFonts w:ascii="Times New Roman" w:hAnsi="宋体" w:eastAsia="宋体" w:cs="Times New Roman"/>
                <w:color w:val="auto"/>
                <w:kern w:val="2"/>
                <w:lang w:eastAsia="zh-CN"/>
              </w:rPr>
              <w:t>紧凑型轿车</w:t>
            </w:r>
          </w:p>
        </w:tc>
        <w:tc>
          <w:tcPr>
            <w:tcW w:w="750" w:type="dxa"/>
            <w:noWrap w:val="0"/>
            <w:vAlign w:val="center"/>
          </w:tcPr>
          <w:p w14:paraId="7D3A89DC">
            <w:pPr>
              <w:jc w:val="center"/>
              <w:textAlignment w:val="center"/>
              <w:rPr>
                <w:rFonts w:ascii="Times New Roman" w:hAnsi="Times New Roman" w:eastAsia="宋体" w:cs="Times New Roman"/>
                <w:color w:val="auto"/>
                <w:kern w:val="2"/>
                <w:lang w:eastAsia="zh-CN"/>
              </w:rPr>
            </w:pPr>
            <w:r>
              <w:rPr>
                <w:rFonts w:ascii="Times New Roman" w:hAnsi="Times New Roman" w:eastAsia="宋体" w:cs="Times New Roman"/>
                <w:color w:val="auto"/>
                <w:kern w:val="2"/>
                <w:lang w:eastAsia="zh-CN"/>
              </w:rPr>
              <w:t>≥11</w:t>
            </w:r>
          </w:p>
        </w:tc>
        <w:tc>
          <w:tcPr>
            <w:tcW w:w="1416" w:type="dxa"/>
            <w:noWrap w:val="0"/>
            <w:vAlign w:val="center"/>
          </w:tcPr>
          <w:p w14:paraId="5ED33173">
            <w:pPr>
              <w:jc w:val="center"/>
              <w:textAlignment w:val="center"/>
              <w:rPr>
                <w:rFonts w:hint="eastAsia" w:ascii="Times New Roman" w:hAnsi="Times New Roman" w:eastAsia="宋体" w:cs="Times New Roman"/>
                <w:color w:val="auto"/>
                <w:kern w:val="2"/>
                <w:lang w:eastAsia="zh-CN"/>
              </w:rPr>
            </w:pPr>
            <w:r>
              <w:rPr>
                <w:rFonts w:ascii="Times New Roman" w:hAnsi="Times New Roman" w:eastAsia="宋体" w:cs="Times New Roman"/>
                <w:color w:val="auto"/>
                <w:kern w:val="2"/>
                <w:lang w:eastAsia="zh-CN"/>
              </w:rPr>
              <w:t>4795</w:t>
            </w:r>
            <w:bookmarkStart w:id="0" w:name="OLE_LINK1"/>
            <w:bookmarkStart w:id="1" w:name="OLE_LINK3"/>
            <w:bookmarkStart w:id="2" w:name="OLE_LINK2"/>
            <w:r>
              <w:rPr>
                <w:rFonts w:ascii="Times New Roman" w:hAnsi="Times New Roman" w:eastAsia="宋体" w:cs="Times New Roman"/>
                <w:color w:val="auto"/>
                <w:kern w:val="2"/>
                <w:lang w:eastAsia="zh-CN"/>
              </w:rPr>
              <w:t>×</w:t>
            </w:r>
            <w:bookmarkEnd w:id="0"/>
            <w:bookmarkEnd w:id="1"/>
            <w:bookmarkEnd w:id="2"/>
            <w:r>
              <w:rPr>
                <w:rFonts w:ascii="Times New Roman" w:hAnsi="Times New Roman" w:eastAsia="宋体" w:cs="Times New Roman"/>
                <w:color w:val="auto"/>
                <w:kern w:val="2"/>
                <w:lang w:eastAsia="zh-CN"/>
              </w:rPr>
              <w:t>1837×</w:t>
            </w:r>
          </w:p>
          <w:p w14:paraId="711EF9FC">
            <w:pPr>
              <w:jc w:val="center"/>
              <w:textAlignment w:val="center"/>
              <w:rPr>
                <w:rFonts w:ascii="Times New Roman" w:hAnsi="Times New Roman" w:eastAsia="宋体" w:cs="Times New Roman"/>
                <w:color w:val="auto"/>
                <w:kern w:val="2"/>
                <w:lang w:eastAsia="zh-CN"/>
              </w:rPr>
            </w:pPr>
            <w:r>
              <w:rPr>
                <w:rFonts w:ascii="Times New Roman" w:hAnsi="Times New Roman" w:eastAsia="宋体" w:cs="Times New Roman"/>
                <w:color w:val="auto"/>
                <w:kern w:val="2"/>
                <w:lang w:eastAsia="zh-CN"/>
              </w:rPr>
              <w:t>1515</w:t>
            </w:r>
          </w:p>
        </w:tc>
        <w:tc>
          <w:tcPr>
            <w:tcW w:w="917" w:type="dxa"/>
            <w:noWrap w:val="0"/>
            <w:vAlign w:val="center"/>
          </w:tcPr>
          <w:p w14:paraId="4F84BBF6">
            <w:pPr>
              <w:jc w:val="center"/>
              <w:textAlignment w:val="center"/>
              <w:rPr>
                <w:rFonts w:ascii="Times New Roman" w:hAnsi="Times New Roman" w:eastAsia="宋体" w:cs="Times New Roman"/>
                <w:color w:val="auto"/>
                <w:kern w:val="2"/>
                <w:lang w:eastAsia="zh-CN"/>
              </w:rPr>
            </w:pPr>
            <w:r>
              <w:rPr>
                <w:rFonts w:ascii="Times New Roman" w:hAnsi="Times New Roman" w:eastAsia="宋体" w:cs="Times New Roman"/>
                <w:color w:val="auto"/>
                <w:kern w:val="2"/>
                <w:lang w:eastAsia="zh-CN"/>
              </w:rPr>
              <w:t>≥510km</w:t>
            </w:r>
          </w:p>
        </w:tc>
        <w:tc>
          <w:tcPr>
            <w:tcW w:w="805" w:type="dxa"/>
            <w:noWrap w:val="0"/>
            <w:vAlign w:val="center"/>
          </w:tcPr>
          <w:p w14:paraId="272D36A6">
            <w:pPr>
              <w:jc w:val="center"/>
              <w:textAlignment w:val="center"/>
              <w:rPr>
                <w:rFonts w:ascii="Times New Roman" w:hAnsi="Times New Roman" w:eastAsia="宋体" w:cs="Times New Roman"/>
                <w:color w:val="auto"/>
                <w:lang w:eastAsia="zh-CN" w:bidi="ar"/>
              </w:rPr>
            </w:pPr>
            <w:r>
              <w:rPr>
                <w:rFonts w:ascii="Times New Roman" w:hAnsi="Times New Roman" w:eastAsia="宋体" w:cs="Times New Roman"/>
                <w:color w:val="auto"/>
                <w:lang w:eastAsia="zh-CN" w:bidi="ar"/>
              </w:rPr>
              <w:t>3</w:t>
            </w:r>
          </w:p>
        </w:tc>
        <w:tc>
          <w:tcPr>
            <w:tcW w:w="1112" w:type="dxa"/>
            <w:noWrap w:val="0"/>
            <w:vAlign w:val="center"/>
          </w:tcPr>
          <w:p w14:paraId="30DA0F22">
            <w:pPr>
              <w:widowControl w:val="0"/>
              <w:jc w:val="center"/>
              <w:rPr>
                <w:rFonts w:ascii="Times New Roman" w:hAnsi="Times New Roman" w:eastAsia="宋体" w:cs="Times New Roman"/>
                <w:color w:val="auto"/>
                <w:lang w:eastAsia="zh-CN"/>
              </w:rPr>
            </w:pPr>
            <w:r>
              <w:rPr>
                <w:rFonts w:hint="eastAsia" w:ascii="Times New Roman" w:hAnsi="宋体" w:eastAsia="宋体" w:cs="Times New Roman"/>
                <w:color w:val="auto"/>
                <w:lang w:eastAsia="zh-CN"/>
              </w:rPr>
              <w:t>黑</w:t>
            </w:r>
          </w:p>
        </w:tc>
        <w:tc>
          <w:tcPr>
            <w:tcW w:w="1152" w:type="dxa"/>
            <w:noWrap w:val="0"/>
            <w:vAlign w:val="center"/>
          </w:tcPr>
          <w:p w14:paraId="78692F69">
            <w:pPr>
              <w:widowControl w:val="0"/>
              <w:tabs>
                <w:tab w:val="left" w:pos="0"/>
              </w:tabs>
              <w:spacing w:line="500" w:lineRule="exact"/>
              <w:jc w:val="center"/>
              <w:rPr>
                <w:rFonts w:hint="default" w:ascii="Times New Roman" w:hAnsi="Times New Roman" w:eastAsia="宋体" w:cs="Times New Roman"/>
                <w:color w:val="auto"/>
                <w:kern w:val="2"/>
                <w:lang w:val="en-US" w:eastAsia="zh-CN"/>
              </w:rPr>
            </w:pPr>
            <w:r>
              <w:rPr>
                <w:rFonts w:hint="eastAsia" w:ascii="Times New Roman" w:hAnsi="Times New Roman" w:eastAsia="宋体" w:cs="Times New Roman"/>
                <w:color w:val="auto"/>
                <w:kern w:val="2"/>
                <w:lang w:val="en-US" w:eastAsia="zh-CN"/>
              </w:rPr>
              <w:t>2340</w:t>
            </w:r>
          </w:p>
        </w:tc>
        <w:tc>
          <w:tcPr>
            <w:tcW w:w="1209" w:type="dxa"/>
            <w:noWrap w:val="0"/>
            <w:vAlign w:val="center"/>
          </w:tcPr>
          <w:p w14:paraId="537AC74E">
            <w:pPr>
              <w:widowControl w:val="0"/>
              <w:tabs>
                <w:tab w:val="left" w:pos="0"/>
              </w:tabs>
              <w:spacing w:line="500" w:lineRule="exact"/>
              <w:jc w:val="center"/>
              <w:rPr>
                <w:rFonts w:hint="default" w:ascii="Times New Roman" w:hAnsi="Times New Roman" w:eastAsia="宋体" w:cs="Times New Roman"/>
                <w:color w:val="auto"/>
                <w:kern w:val="2"/>
                <w:lang w:val="en-US" w:eastAsia="zh-CN"/>
              </w:rPr>
            </w:pPr>
            <w:r>
              <w:rPr>
                <w:rFonts w:hint="eastAsia" w:ascii="Times New Roman" w:hAnsi="Times New Roman" w:eastAsia="宋体" w:cs="Times New Roman"/>
                <w:color w:val="auto"/>
                <w:kern w:val="2"/>
                <w:lang w:val="en-US" w:eastAsia="zh-CN"/>
              </w:rPr>
              <w:t>170</w:t>
            </w:r>
          </w:p>
        </w:tc>
      </w:tr>
      <w:tr w14:paraId="70F42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 w:type="dxa"/>
            <w:noWrap w:val="0"/>
            <w:vAlign w:val="center"/>
          </w:tcPr>
          <w:p w14:paraId="6E97D3BE">
            <w:pPr>
              <w:widowControl w:val="0"/>
              <w:tabs>
                <w:tab w:val="left" w:pos="0"/>
              </w:tabs>
              <w:spacing w:line="500" w:lineRule="exact"/>
              <w:jc w:val="center"/>
              <w:rPr>
                <w:rFonts w:ascii="Times New Roman" w:hAnsi="Times New Roman" w:eastAsia="宋体" w:cs="Times New Roman"/>
                <w:color w:val="auto"/>
                <w:kern w:val="2"/>
                <w:lang w:eastAsia="zh-CN"/>
              </w:rPr>
            </w:pPr>
            <w:r>
              <w:rPr>
                <w:rFonts w:ascii="Times New Roman" w:hAnsi="Times New Roman" w:eastAsia="宋体" w:cs="Times New Roman"/>
                <w:color w:val="auto"/>
                <w:kern w:val="2"/>
                <w:lang w:eastAsia="zh-CN"/>
              </w:rPr>
              <w:t>2</w:t>
            </w:r>
          </w:p>
        </w:tc>
        <w:tc>
          <w:tcPr>
            <w:tcW w:w="959" w:type="dxa"/>
            <w:noWrap w:val="0"/>
            <w:vAlign w:val="center"/>
          </w:tcPr>
          <w:p w14:paraId="076C7DFA">
            <w:pPr>
              <w:jc w:val="center"/>
              <w:textAlignment w:val="center"/>
              <w:rPr>
                <w:rFonts w:ascii="Times New Roman" w:hAnsi="Times New Roman" w:eastAsia="宋体" w:cs="Times New Roman"/>
                <w:color w:val="auto"/>
                <w:kern w:val="2"/>
                <w:lang w:eastAsia="zh-CN"/>
              </w:rPr>
            </w:pPr>
            <w:r>
              <w:rPr>
                <w:rFonts w:ascii="Times New Roman" w:hAnsi="宋体" w:eastAsia="宋体" w:cs="Times New Roman"/>
                <w:color w:val="auto"/>
                <w:kern w:val="2"/>
                <w:lang w:eastAsia="zh-CN"/>
              </w:rPr>
              <w:t>中型轿车</w:t>
            </w:r>
          </w:p>
        </w:tc>
        <w:tc>
          <w:tcPr>
            <w:tcW w:w="750" w:type="dxa"/>
            <w:noWrap w:val="0"/>
            <w:vAlign w:val="center"/>
          </w:tcPr>
          <w:p w14:paraId="0F7F0D25">
            <w:pPr>
              <w:jc w:val="center"/>
              <w:textAlignment w:val="center"/>
              <w:rPr>
                <w:rFonts w:hint="default" w:ascii="Times New Roman" w:hAnsi="Times New Roman" w:eastAsia="宋体" w:cs="Times New Roman"/>
                <w:color w:val="auto"/>
                <w:kern w:val="2"/>
                <w:lang w:val="en-US" w:eastAsia="zh-CN"/>
              </w:rPr>
            </w:pPr>
            <w:r>
              <w:rPr>
                <w:rFonts w:ascii="Times New Roman" w:hAnsi="Times New Roman" w:eastAsia="宋体" w:cs="Times New Roman"/>
                <w:color w:val="auto"/>
                <w:kern w:val="2"/>
                <w:lang w:eastAsia="zh-CN"/>
              </w:rPr>
              <w:t>≥1</w:t>
            </w:r>
            <w:r>
              <w:rPr>
                <w:rFonts w:hint="eastAsia" w:ascii="Times New Roman" w:hAnsi="Times New Roman" w:eastAsia="宋体" w:cs="Times New Roman"/>
                <w:color w:val="auto"/>
                <w:kern w:val="2"/>
                <w:lang w:val="en-US" w:eastAsia="zh-CN"/>
              </w:rPr>
              <w:t>2</w:t>
            </w:r>
          </w:p>
        </w:tc>
        <w:tc>
          <w:tcPr>
            <w:tcW w:w="1416" w:type="dxa"/>
            <w:noWrap w:val="0"/>
            <w:vAlign w:val="center"/>
          </w:tcPr>
          <w:p w14:paraId="2D458F84">
            <w:pPr>
              <w:jc w:val="center"/>
              <w:textAlignment w:val="center"/>
              <w:rPr>
                <w:rFonts w:hint="eastAsia" w:ascii="Times New Roman" w:hAnsi="Times New Roman" w:eastAsia="宋体" w:cs="Times New Roman"/>
                <w:color w:val="auto"/>
                <w:kern w:val="2"/>
                <w:lang w:eastAsia="zh-CN"/>
              </w:rPr>
            </w:pPr>
            <w:r>
              <w:rPr>
                <w:rFonts w:ascii="Times New Roman" w:hAnsi="Times New Roman" w:eastAsia="宋体" w:cs="Times New Roman"/>
                <w:color w:val="auto"/>
                <w:kern w:val="2"/>
                <w:lang w:eastAsia="zh-CN"/>
              </w:rPr>
              <w:t>4720</w:t>
            </w:r>
            <w:bookmarkStart w:id="3" w:name="OLE_LINK5"/>
            <w:bookmarkStart w:id="4" w:name="OLE_LINK4"/>
            <w:r>
              <w:rPr>
                <w:rFonts w:ascii="Times New Roman" w:hAnsi="Times New Roman" w:eastAsia="宋体" w:cs="Times New Roman"/>
                <w:color w:val="auto"/>
                <w:kern w:val="2"/>
                <w:lang w:eastAsia="zh-CN"/>
              </w:rPr>
              <w:t>×</w:t>
            </w:r>
            <w:bookmarkEnd w:id="3"/>
            <w:bookmarkEnd w:id="4"/>
            <w:r>
              <w:rPr>
                <w:rFonts w:ascii="Times New Roman" w:hAnsi="Times New Roman" w:eastAsia="宋体" w:cs="Times New Roman"/>
                <w:color w:val="auto"/>
                <w:kern w:val="2"/>
                <w:lang w:eastAsia="zh-CN"/>
              </w:rPr>
              <w:t>1880×</w:t>
            </w:r>
          </w:p>
          <w:p w14:paraId="43E40053">
            <w:pPr>
              <w:jc w:val="center"/>
              <w:textAlignment w:val="center"/>
              <w:rPr>
                <w:rFonts w:ascii="Times New Roman" w:hAnsi="Times New Roman" w:eastAsia="宋体" w:cs="Times New Roman"/>
                <w:color w:val="auto"/>
                <w:kern w:val="2"/>
                <w:lang w:eastAsia="zh-CN"/>
              </w:rPr>
            </w:pPr>
            <w:r>
              <w:rPr>
                <w:rFonts w:ascii="Times New Roman" w:hAnsi="Times New Roman" w:eastAsia="宋体" w:cs="Times New Roman"/>
                <w:color w:val="auto"/>
                <w:kern w:val="2"/>
                <w:lang w:eastAsia="zh-CN"/>
              </w:rPr>
              <w:t>1495</w:t>
            </w:r>
          </w:p>
        </w:tc>
        <w:tc>
          <w:tcPr>
            <w:tcW w:w="917" w:type="dxa"/>
            <w:noWrap w:val="0"/>
            <w:vAlign w:val="center"/>
          </w:tcPr>
          <w:p w14:paraId="73E4CB9C">
            <w:pPr>
              <w:jc w:val="center"/>
              <w:textAlignment w:val="center"/>
              <w:rPr>
                <w:rFonts w:ascii="Times New Roman" w:hAnsi="Times New Roman" w:eastAsia="宋体" w:cs="Times New Roman"/>
                <w:color w:val="auto"/>
                <w:kern w:val="2"/>
                <w:lang w:eastAsia="zh-CN"/>
              </w:rPr>
            </w:pPr>
            <w:r>
              <w:rPr>
                <w:rFonts w:ascii="Times New Roman" w:hAnsi="Times New Roman" w:eastAsia="宋体" w:cs="Times New Roman"/>
                <w:color w:val="auto"/>
                <w:kern w:val="2"/>
                <w:lang w:eastAsia="zh-CN"/>
              </w:rPr>
              <w:t>≥</w:t>
            </w:r>
            <w:r>
              <w:rPr>
                <w:rFonts w:hint="eastAsia" w:ascii="Times New Roman" w:hAnsi="Times New Roman" w:eastAsia="宋体" w:cs="Times New Roman"/>
                <w:color w:val="auto"/>
                <w:kern w:val="2"/>
                <w:lang w:val="en-US" w:eastAsia="zh-CN"/>
              </w:rPr>
              <w:t>545</w:t>
            </w:r>
            <w:r>
              <w:rPr>
                <w:rFonts w:ascii="Times New Roman" w:hAnsi="Times New Roman" w:eastAsia="宋体" w:cs="Times New Roman"/>
                <w:color w:val="auto"/>
                <w:kern w:val="2"/>
                <w:lang w:eastAsia="zh-CN"/>
              </w:rPr>
              <w:t>km</w:t>
            </w:r>
          </w:p>
        </w:tc>
        <w:tc>
          <w:tcPr>
            <w:tcW w:w="805" w:type="dxa"/>
            <w:noWrap w:val="0"/>
            <w:vAlign w:val="center"/>
          </w:tcPr>
          <w:p w14:paraId="7899038C">
            <w:pPr>
              <w:jc w:val="center"/>
              <w:textAlignment w:val="center"/>
              <w:rPr>
                <w:rFonts w:ascii="Times New Roman" w:hAnsi="Times New Roman" w:eastAsia="宋体" w:cs="Times New Roman"/>
                <w:color w:val="auto"/>
                <w:lang w:eastAsia="zh-CN" w:bidi="ar"/>
              </w:rPr>
            </w:pPr>
            <w:r>
              <w:rPr>
                <w:rFonts w:ascii="Times New Roman" w:hAnsi="Times New Roman" w:eastAsia="宋体" w:cs="Times New Roman"/>
                <w:color w:val="auto"/>
                <w:lang w:eastAsia="zh-CN" w:bidi="ar"/>
              </w:rPr>
              <w:t>2</w:t>
            </w:r>
          </w:p>
        </w:tc>
        <w:tc>
          <w:tcPr>
            <w:tcW w:w="1112" w:type="dxa"/>
            <w:noWrap w:val="0"/>
            <w:vAlign w:val="center"/>
          </w:tcPr>
          <w:p w14:paraId="66E0B1F1">
            <w:pPr>
              <w:widowControl w:val="0"/>
              <w:jc w:val="center"/>
              <w:rPr>
                <w:rFonts w:ascii="Times New Roman" w:hAnsi="Times New Roman" w:eastAsia="宋体" w:cs="Times New Roman"/>
                <w:color w:val="auto"/>
                <w:lang w:eastAsia="zh-CN"/>
              </w:rPr>
            </w:pPr>
            <w:r>
              <w:rPr>
                <w:rFonts w:ascii="Times New Roman" w:hAnsi="宋体" w:eastAsia="宋体" w:cs="Times New Roman"/>
                <w:color w:val="auto"/>
                <w:lang w:eastAsia="zh-CN"/>
              </w:rPr>
              <w:t>白</w:t>
            </w:r>
          </w:p>
        </w:tc>
        <w:tc>
          <w:tcPr>
            <w:tcW w:w="1152" w:type="dxa"/>
            <w:noWrap w:val="0"/>
            <w:vAlign w:val="center"/>
          </w:tcPr>
          <w:p w14:paraId="3015F19D">
            <w:pPr>
              <w:widowControl w:val="0"/>
              <w:tabs>
                <w:tab w:val="left" w:pos="0"/>
              </w:tabs>
              <w:spacing w:line="500" w:lineRule="exact"/>
              <w:jc w:val="center"/>
              <w:rPr>
                <w:rFonts w:hint="default" w:ascii="Times New Roman" w:hAnsi="Times New Roman" w:eastAsia="宋体" w:cs="Times New Roman"/>
                <w:color w:val="auto"/>
                <w:kern w:val="2"/>
                <w:lang w:val="en-US" w:eastAsia="zh-CN"/>
              </w:rPr>
            </w:pPr>
            <w:r>
              <w:rPr>
                <w:rFonts w:hint="eastAsia" w:ascii="Times New Roman" w:hAnsi="Times New Roman" w:eastAsia="宋体" w:cs="Times New Roman"/>
                <w:color w:val="auto"/>
                <w:kern w:val="2"/>
                <w:lang w:val="en-US" w:eastAsia="zh-CN"/>
              </w:rPr>
              <w:t>2543</w:t>
            </w:r>
          </w:p>
        </w:tc>
        <w:tc>
          <w:tcPr>
            <w:tcW w:w="1209" w:type="dxa"/>
            <w:noWrap w:val="0"/>
            <w:vAlign w:val="center"/>
          </w:tcPr>
          <w:p w14:paraId="097E94FC">
            <w:pPr>
              <w:widowControl w:val="0"/>
              <w:tabs>
                <w:tab w:val="left" w:pos="0"/>
              </w:tabs>
              <w:spacing w:line="500" w:lineRule="exact"/>
              <w:jc w:val="center"/>
              <w:rPr>
                <w:rFonts w:hint="default" w:ascii="Times New Roman" w:hAnsi="Times New Roman" w:eastAsia="宋体" w:cs="Times New Roman"/>
                <w:color w:val="auto"/>
                <w:kern w:val="2"/>
                <w:lang w:val="en-US" w:eastAsia="zh-CN"/>
              </w:rPr>
            </w:pPr>
            <w:r>
              <w:rPr>
                <w:rFonts w:hint="eastAsia" w:ascii="Times New Roman" w:hAnsi="Times New Roman" w:eastAsia="宋体" w:cs="Times New Roman"/>
                <w:color w:val="auto"/>
                <w:kern w:val="2"/>
                <w:lang w:val="en-US" w:eastAsia="zh-CN"/>
              </w:rPr>
              <w:t>170</w:t>
            </w:r>
          </w:p>
        </w:tc>
      </w:tr>
      <w:tr w14:paraId="2FEA3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 w:type="dxa"/>
            <w:noWrap w:val="0"/>
            <w:vAlign w:val="center"/>
          </w:tcPr>
          <w:p w14:paraId="2AC39739">
            <w:pPr>
              <w:widowControl w:val="0"/>
              <w:tabs>
                <w:tab w:val="left" w:pos="0"/>
              </w:tabs>
              <w:spacing w:line="500" w:lineRule="exact"/>
              <w:jc w:val="center"/>
              <w:rPr>
                <w:rFonts w:ascii="Times New Roman" w:hAnsi="Times New Roman" w:eastAsia="宋体" w:cs="Times New Roman"/>
                <w:color w:val="auto"/>
                <w:kern w:val="2"/>
                <w:lang w:eastAsia="zh-CN"/>
              </w:rPr>
            </w:pPr>
            <w:r>
              <w:rPr>
                <w:rFonts w:ascii="Times New Roman" w:hAnsi="Times New Roman" w:eastAsia="宋体" w:cs="Times New Roman"/>
                <w:color w:val="auto"/>
                <w:kern w:val="2"/>
                <w:lang w:eastAsia="zh-CN"/>
              </w:rPr>
              <w:t>3</w:t>
            </w:r>
          </w:p>
        </w:tc>
        <w:tc>
          <w:tcPr>
            <w:tcW w:w="959" w:type="dxa"/>
            <w:noWrap w:val="0"/>
            <w:vAlign w:val="center"/>
          </w:tcPr>
          <w:p w14:paraId="46638A08">
            <w:pPr>
              <w:jc w:val="center"/>
              <w:textAlignment w:val="center"/>
              <w:rPr>
                <w:rFonts w:ascii="Times New Roman" w:hAnsi="Times New Roman" w:eastAsia="宋体" w:cs="Times New Roman"/>
                <w:color w:val="auto"/>
                <w:kern w:val="2"/>
                <w:lang w:eastAsia="zh-CN"/>
              </w:rPr>
            </w:pPr>
            <w:r>
              <w:rPr>
                <w:rFonts w:hint="eastAsia" w:ascii="Times New Roman" w:hAnsi="宋体" w:eastAsia="宋体" w:cs="Times New Roman"/>
                <w:color w:val="auto"/>
                <w:kern w:val="2"/>
                <w:lang w:eastAsia="zh-CN"/>
              </w:rPr>
              <w:t>大型小轿车</w:t>
            </w:r>
          </w:p>
        </w:tc>
        <w:tc>
          <w:tcPr>
            <w:tcW w:w="750" w:type="dxa"/>
            <w:noWrap w:val="0"/>
            <w:vAlign w:val="center"/>
          </w:tcPr>
          <w:p w14:paraId="41D8E04E">
            <w:pPr>
              <w:jc w:val="center"/>
              <w:textAlignment w:val="center"/>
              <w:rPr>
                <w:rFonts w:hint="default" w:ascii="Times New Roman" w:hAnsi="Times New Roman" w:eastAsia="宋体" w:cs="Times New Roman"/>
                <w:color w:val="auto"/>
                <w:kern w:val="2"/>
                <w:lang w:val="en-US" w:eastAsia="zh-CN"/>
              </w:rPr>
            </w:pPr>
            <w:r>
              <w:rPr>
                <w:rFonts w:ascii="Times New Roman" w:hAnsi="Times New Roman" w:eastAsia="宋体" w:cs="Times New Roman"/>
                <w:color w:val="auto"/>
                <w:kern w:val="2"/>
                <w:lang w:eastAsia="zh-CN"/>
              </w:rPr>
              <w:t>≥1</w:t>
            </w:r>
            <w:r>
              <w:rPr>
                <w:rFonts w:hint="eastAsia" w:ascii="Times New Roman" w:hAnsi="Times New Roman" w:eastAsia="宋体" w:cs="Times New Roman"/>
                <w:color w:val="auto"/>
                <w:kern w:val="2"/>
                <w:lang w:val="en-US" w:eastAsia="zh-CN"/>
              </w:rPr>
              <w:t>7</w:t>
            </w:r>
          </w:p>
        </w:tc>
        <w:tc>
          <w:tcPr>
            <w:tcW w:w="1416" w:type="dxa"/>
            <w:noWrap w:val="0"/>
            <w:vAlign w:val="center"/>
          </w:tcPr>
          <w:p w14:paraId="2EC62BD9">
            <w:pPr>
              <w:jc w:val="center"/>
              <w:textAlignment w:val="center"/>
              <w:rPr>
                <w:rFonts w:hint="eastAsia" w:ascii="Times New Roman" w:hAnsi="Times New Roman" w:eastAsia="宋体" w:cs="Times New Roman"/>
                <w:color w:val="auto"/>
                <w:kern w:val="2"/>
                <w:lang w:eastAsia="zh-CN"/>
              </w:rPr>
            </w:pPr>
            <w:r>
              <w:rPr>
                <w:rFonts w:hint="eastAsia" w:ascii="Times New Roman" w:hAnsi="Times New Roman" w:eastAsia="宋体" w:cs="Times New Roman"/>
                <w:color w:val="auto"/>
                <w:kern w:val="2"/>
                <w:lang w:val="en-US" w:eastAsia="zh-CN"/>
              </w:rPr>
              <w:t>4995</w:t>
            </w:r>
            <w:r>
              <w:rPr>
                <w:rFonts w:ascii="Times New Roman" w:hAnsi="Times New Roman" w:eastAsia="宋体" w:cs="Times New Roman"/>
                <w:color w:val="auto"/>
                <w:kern w:val="2"/>
                <w:lang w:eastAsia="zh-CN"/>
              </w:rPr>
              <w:t>×19</w:t>
            </w:r>
            <w:r>
              <w:rPr>
                <w:rFonts w:hint="eastAsia" w:ascii="Times New Roman" w:hAnsi="Times New Roman" w:eastAsia="宋体" w:cs="Times New Roman"/>
                <w:color w:val="auto"/>
                <w:kern w:val="2"/>
                <w:lang w:val="en-US" w:eastAsia="zh-CN"/>
              </w:rPr>
              <w:t>10</w:t>
            </w:r>
            <w:r>
              <w:rPr>
                <w:rFonts w:ascii="Times New Roman" w:hAnsi="Times New Roman" w:eastAsia="宋体" w:cs="Times New Roman"/>
                <w:color w:val="auto"/>
                <w:kern w:val="2"/>
                <w:lang w:eastAsia="zh-CN"/>
              </w:rPr>
              <w:t>×</w:t>
            </w:r>
          </w:p>
          <w:p w14:paraId="2CB223A9">
            <w:pPr>
              <w:jc w:val="center"/>
              <w:textAlignment w:val="center"/>
              <w:rPr>
                <w:rFonts w:hint="default" w:ascii="Times New Roman" w:hAnsi="Times New Roman" w:eastAsia="宋体" w:cs="Times New Roman"/>
                <w:color w:val="auto"/>
                <w:kern w:val="2"/>
                <w:lang w:val="en-US" w:eastAsia="zh-CN"/>
              </w:rPr>
            </w:pPr>
            <w:r>
              <w:rPr>
                <w:rFonts w:ascii="Times New Roman" w:hAnsi="Times New Roman" w:eastAsia="宋体" w:cs="Times New Roman"/>
                <w:color w:val="auto"/>
                <w:kern w:val="2"/>
                <w:lang w:eastAsia="zh-CN"/>
              </w:rPr>
              <w:t>1</w:t>
            </w:r>
            <w:r>
              <w:rPr>
                <w:rFonts w:hint="eastAsia" w:ascii="Times New Roman" w:hAnsi="Times New Roman" w:eastAsia="宋体" w:cs="Times New Roman"/>
                <w:color w:val="auto"/>
                <w:kern w:val="2"/>
                <w:lang w:val="en-US" w:eastAsia="zh-CN"/>
              </w:rPr>
              <w:t>945</w:t>
            </w:r>
          </w:p>
        </w:tc>
        <w:tc>
          <w:tcPr>
            <w:tcW w:w="917" w:type="dxa"/>
            <w:noWrap w:val="0"/>
            <w:vAlign w:val="center"/>
          </w:tcPr>
          <w:p w14:paraId="7C670B1C">
            <w:pPr>
              <w:jc w:val="center"/>
              <w:textAlignment w:val="center"/>
              <w:rPr>
                <w:rFonts w:ascii="Times New Roman" w:hAnsi="Times New Roman" w:eastAsia="宋体" w:cs="Times New Roman"/>
                <w:color w:val="auto"/>
                <w:kern w:val="2"/>
                <w:lang w:eastAsia="zh-CN"/>
              </w:rPr>
            </w:pPr>
            <w:r>
              <w:rPr>
                <w:rFonts w:ascii="Times New Roman" w:hAnsi="Times New Roman" w:eastAsia="宋体" w:cs="Times New Roman"/>
                <w:color w:val="auto"/>
                <w:kern w:val="2"/>
                <w:lang w:eastAsia="zh-CN"/>
              </w:rPr>
              <w:t>≥</w:t>
            </w:r>
            <w:r>
              <w:rPr>
                <w:rFonts w:hint="eastAsia" w:ascii="Times New Roman" w:hAnsi="Times New Roman" w:eastAsia="宋体" w:cs="Times New Roman"/>
                <w:color w:val="auto"/>
                <w:kern w:val="2"/>
                <w:lang w:val="en-US" w:eastAsia="zh-CN"/>
              </w:rPr>
              <w:t>506</w:t>
            </w:r>
            <w:r>
              <w:rPr>
                <w:rFonts w:ascii="Times New Roman" w:hAnsi="Times New Roman" w:eastAsia="宋体" w:cs="Times New Roman"/>
                <w:color w:val="auto"/>
                <w:kern w:val="2"/>
                <w:lang w:eastAsia="zh-CN"/>
              </w:rPr>
              <w:t>km</w:t>
            </w:r>
          </w:p>
        </w:tc>
        <w:tc>
          <w:tcPr>
            <w:tcW w:w="805" w:type="dxa"/>
            <w:noWrap w:val="0"/>
            <w:vAlign w:val="center"/>
          </w:tcPr>
          <w:p w14:paraId="5B75397B">
            <w:pPr>
              <w:jc w:val="center"/>
              <w:textAlignment w:val="center"/>
              <w:rPr>
                <w:rFonts w:ascii="Times New Roman" w:hAnsi="Times New Roman" w:eastAsia="宋体" w:cs="Times New Roman"/>
                <w:color w:val="auto"/>
                <w:lang w:eastAsia="zh-CN" w:bidi="ar"/>
              </w:rPr>
            </w:pPr>
            <w:r>
              <w:rPr>
                <w:rFonts w:ascii="Times New Roman" w:hAnsi="Times New Roman" w:eastAsia="宋体" w:cs="Times New Roman"/>
                <w:color w:val="auto"/>
                <w:lang w:eastAsia="zh-CN" w:bidi="ar"/>
              </w:rPr>
              <w:t>2</w:t>
            </w:r>
          </w:p>
        </w:tc>
        <w:tc>
          <w:tcPr>
            <w:tcW w:w="1112" w:type="dxa"/>
            <w:noWrap w:val="0"/>
            <w:vAlign w:val="center"/>
          </w:tcPr>
          <w:p w14:paraId="47A53F27">
            <w:pPr>
              <w:widowControl w:val="0"/>
              <w:jc w:val="center"/>
              <w:rPr>
                <w:rFonts w:ascii="Times New Roman" w:hAnsi="Times New Roman" w:eastAsia="宋体" w:cs="Times New Roman"/>
                <w:color w:val="auto"/>
                <w:lang w:eastAsia="zh-CN"/>
              </w:rPr>
            </w:pPr>
            <w:r>
              <w:rPr>
                <w:rFonts w:ascii="Times New Roman" w:hAnsi="宋体" w:eastAsia="宋体" w:cs="Times New Roman"/>
                <w:color w:val="auto"/>
                <w:lang w:eastAsia="zh-CN"/>
              </w:rPr>
              <w:t>黑</w:t>
            </w:r>
          </w:p>
        </w:tc>
        <w:tc>
          <w:tcPr>
            <w:tcW w:w="1152" w:type="dxa"/>
            <w:noWrap w:val="0"/>
            <w:vAlign w:val="center"/>
          </w:tcPr>
          <w:p w14:paraId="4A07C2E9">
            <w:pPr>
              <w:widowControl w:val="0"/>
              <w:tabs>
                <w:tab w:val="left" w:pos="0"/>
              </w:tabs>
              <w:spacing w:line="500" w:lineRule="exact"/>
              <w:jc w:val="center"/>
              <w:rPr>
                <w:rFonts w:hint="default" w:ascii="Times New Roman" w:hAnsi="Times New Roman" w:eastAsia="宋体" w:cs="Times New Roman"/>
                <w:color w:val="auto"/>
                <w:kern w:val="2"/>
                <w:lang w:val="en-US" w:eastAsia="zh-CN"/>
              </w:rPr>
            </w:pPr>
            <w:r>
              <w:rPr>
                <w:rFonts w:hint="eastAsia" w:ascii="Times New Roman" w:hAnsi="Times New Roman" w:eastAsia="宋体" w:cs="Times New Roman"/>
                <w:color w:val="auto"/>
                <w:kern w:val="2"/>
                <w:lang w:val="en-US" w:eastAsia="zh-CN"/>
              </w:rPr>
              <w:t>3534</w:t>
            </w:r>
          </w:p>
        </w:tc>
        <w:tc>
          <w:tcPr>
            <w:tcW w:w="1209" w:type="dxa"/>
            <w:noWrap w:val="0"/>
            <w:vAlign w:val="center"/>
          </w:tcPr>
          <w:p w14:paraId="493FA1B4">
            <w:pPr>
              <w:widowControl w:val="0"/>
              <w:tabs>
                <w:tab w:val="left" w:pos="0"/>
              </w:tabs>
              <w:spacing w:line="500" w:lineRule="exact"/>
              <w:jc w:val="center"/>
              <w:rPr>
                <w:rFonts w:hint="default" w:ascii="Times New Roman" w:hAnsi="Times New Roman" w:eastAsia="宋体" w:cs="Times New Roman"/>
                <w:color w:val="auto"/>
                <w:kern w:val="2"/>
                <w:lang w:val="en-US" w:eastAsia="zh-CN"/>
              </w:rPr>
            </w:pPr>
            <w:r>
              <w:rPr>
                <w:rFonts w:hint="eastAsia" w:ascii="Times New Roman" w:hAnsi="Times New Roman" w:eastAsia="宋体" w:cs="Times New Roman"/>
                <w:color w:val="auto"/>
                <w:kern w:val="2"/>
                <w:lang w:val="en-US" w:eastAsia="zh-CN"/>
              </w:rPr>
              <w:t>170</w:t>
            </w:r>
          </w:p>
        </w:tc>
      </w:tr>
      <w:tr w14:paraId="2BFE1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 w:type="dxa"/>
            <w:noWrap w:val="0"/>
            <w:vAlign w:val="center"/>
          </w:tcPr>
          <w:p w14:paraId="2B07C9EA">
            <w:pPr>
              <w:widowControl w:val="0"/>
              <w:tabs>
                <w:tab w:val="left" w:pos="0"/>
              </w:tabs>
              <w:spacing w:line="500" w:lineRule="exact"/>
              <w:jc w:val="center"/>
              <w:rPr>
                <w:rFonts w:ascii="Times New Roman" w:hAnsi="Times New Roman" w:eastAsia="宋体" w:cs="Times New Roman"/>
                <w:color w:val="auto"/>
                <w:kern w:val="2"/>
                <w:lang w:eastAsia="zh-CN"/>
              </w:rPr>
            </w:pPr>
            <w:r>
              <w:rPr>
                <w:rFonts w:ascii="Times New Roman" w:hAnsi="Times New Roman" w:eastAsia="宋体" w:cs="Times New Roman"/>
                <w:color w:val="auto"/>
                <w:kern w:val="2"/>
                <w:lang w:eastAsia="zh-CN"/>
              </w:rPr>
              <w:t>4</w:t>
            </w:r>
          </w:p>
        </w:tc>
        <w:tc>
          <w:tcPr>
            <w:tcW w:w="959" w:type="dxa"/>
            <w:noWrap w:val="0"/>
            <w:vAlign w:val="center"/>
          </w:tcPr>
          <w:p w14:paraId="79599A19">
            <w:pPr>
              <w:jc w:val="center"/>
              <w:textAlignment w:val="center"/>
              <w:rPr>
                <w:rFonts w:ascii="Times New Roman" w:hAnsi="Times New Roman" w:eastAsia="宋体" w:cs="Times New Roman"/>
                <w:color w:val="auto"/>
                <w:kern w:val="2"/>
                <w:lang w:eastAsia="zh-CN"/>
              </w:rPr>
            </w:pPr>
            <w:r>
              <w:rPr>
                <w:rFonts w:ascii="Times New Roman" w:hAnsi="宋体" w:eastAsia="宋体" w:cs="Times New Roman"/>
                <w:color w:val="auto"/>
                <w:kern w:val="2"/>
                <w:lang w:eastAsia="zh-CN"/>
              </w:rPr>
              <w:t>中大型</w:t>
            </w:r>
            <w:r>
              <w:rPr>
                <w:rFonts w:ascii="Times New Roman" w:hAnsi="Times New Roman" w:eastAsia="宋体" w:cs="Times New Roman"/>
                <w:color w:val="auto"/>
                <w:kern w:val="2"/>
                <w:lang w:eastAsia="zh-CN"/>
              </w:rPr>
              <w:t>MPV</w:t>
            </w:r>
          </w:p>
        </w:tc>
        <w:tc>
          <w:tcPr>
            <w:tcW w:w="750" w:type="dxa"/>
            <w:noWrap w:val="0"/>
            <w:vAlign w:val="center"/>
          </w:tcPr>
          <w:p w14:paraId="5730EB43">
            <w:pPr>
              <w:jc w:val="center"/>
              <w:textAlignment w:val="center"/>
              <w:rPr>
                <w:rFonts w:ascii="Times New Roman" w:hAnsi="Times New Roman" w:eastAsia="宋体" w:cs="Times New Roman"/>
                <w:color w:val="auto"/>
                <w:kern w:val="2"/>
                <w:lang w:eastAsia="zh-CN"/>
              </w:rPr>
            </w:pPr>
            <w:r>
              <w:rPr>
                <w:rFonts w:ascii="Times New Roman" w:hAnsi="Times New Roman" w:eastAsia="宋体" w:cs="Times New Roman"/>
                <w:color w:val="auto"/>
                <w:kern w:val="2"/>
                <w:lang w:eastAsia="zh-CN"/>
              </w:rPr>
              <w:t>≥18</w:t>
            </w:r>
          </w:p>
        </w:tc>
        <w:tc>
          <w:tcPr>
            <w:tcW w:w="1416" w:type="dxa"/>
            <w:noWrap w:val="0"/>
            <w:vAlign w:val="center"/>
          </w:tcPr>
          <w:p w14:paraId="45DE8BD8">
            <w:pPr>
              <w:jc w:val="center"/>
              <w:textAlignment w:val="center"/>
              <w:rPr>
                <w:rFonts w:hint="eastAsia" w:ascii="Times New Roman" w:hAnsi="Times New Roman" w:eastAsia="宋体" w:cs="Times New Roman"/>
                <w:color w:val="auto"/>
                <w:kern w:val="2"/>
                <w:lang w:eastAsia="zh-CN"/>
              </w:rPr>
            </w:pPr>
            <w:r>
              <w:rPr>
                <w:rFonts w:ascii="Times New Roman" w:hAnsi="Times New Roman" w:eastAsia="宋体" w:cs="Times New Roman"/>
                <w:color w:val="auto"/>
                <w:kern w:val="2"/>
                <w:lang w:eastAsia="zh-CN"/>
              </w:rPr>
              <w:t>5200×1890×</w:t>
            </w:r>
          </w:p>
          <w:p w14:paraId="03E14C4B">
            <w:pPr>
              <w:jc w:val="center"/>
              <w:textAlignment w:val="center"/>
              <w:rPr>
                <w:rFonts w:ascii="Times New Roman" w:hAnsi="Times New Roman" w:eastAsia="宋体" w:cs="Times New Roman"/>
                <w:color w:val="auto"/>
                <w:kern w:val="2"/>
                <w:lang w:eastAsia="zh-CN"/>
              </w:rPr>
            </w:pPr>
            <w:r>
              <w:rPr>
                <w:rFonts w:ascii="Times New Roman" w:hAnsi="Times New Roman" w:eastAsia="宋体" w:cs="Times New Roman"/>
                <w:color w:val="auto"/>
                <w:kern w:val="2"/>
                <w:lang w:eastAsia="zh-CN"/>
              </w:rPr>
              <w:t>1980</w:t>
            </w:r>
          </w:p>
        </w:tc>
        <w:tc>
          <w:tcPr>
            <w:tcW w:w="917" w:type="dxa"/>
            <w:noWrap w:val="0"/>
            <w:vAlign w:val="center"/>
          </w:tcPr>
          <w:p w14:paraId="2EDB4CDF">
            <w:pPr>
              <w:jc w:val="center"/>
              <w:textAlignment w:val="center"/>
              <w:rPr>
                <w:rFonts w:ascii="Times New Roman" w:hAnsi="Times New Roman" w:eastAsia="宋体" w:cs="Times New Roman"/>
                <w:color w:val="auto"/>
                <w:kern w:val="2"/>
                <w:lang w:eastAsia="zh-CN"/>
              </w:rPr>
            </w:pPr>
            <w:r>
              <w:rPr>
                <w:rFonts w:ascii="Times New Roman" w:hAnsi="Times New Roman" w:eastAsia="宋体" w:cs="Times New Roman"/>
                <w:color w:val="auto"/>
                <w:kern w:val="2"/>
                <w:lang w:eastAsia="zh-CN"/>
              </w:rPr>
              <w:t>≥440km</w:t>
            </w:r>
          </w:p>
        </w:tc>
        <w:tc>
          <w:tcPr>
            <w:tcW w:w="805" w:type="dxa"/>
            <w:noWrap w:val="0"/>
            <w:vAlign w:val="center"/>
          </w:tcPr>
          <w:p w14:paraId="12A1494B">
            <w:pPr>
              <w:jc w:val="center"/>
              <w:textAlignment w:val="center"/>
              <w:rPr>
                <w:rFonts w:ascii="Times New Roman" w:hAnsi="Times New Roman" w:eastAsia="宋体" w:cs="Times New Roman"/>
                <w:color w:val="auto"/>
                <w:lang w:eastAsia="zh-CN" w:bidi="ar"/>
              </w:rPr>
            </w:pPr>
            <w:r>
              <w:rPr>
                <w:rFonts w:ascii="Times New Roman" w:hAnsi="Times New Roman" w:eastAsia="宋体" w:cs="Times New Roman"/>
                <w:color w:val="auto"/>
                <w:lang w:eastAsia="zh-CN" w:bidi="ar"/>
              </w:rPr>
              <w:t>1</w:t>
            </w:r>
          </w:p>
        </w:tc>
        <w:tc>
          <w:tcPr>
            <w:tcW w:w="1112" w:type="dxa"/>
            <w:noWrap w:val="0"/>
            <w:vAlign w:val="center"/>
          </w:tcPr>
          <w:p w14:paraId="11CEAC13">
            <w:pPr>
              <w:widowControl w:val="0"/>
              <w:jc w:val="center"/>
              <w:rPr>
                <w:rFonts w:ascii="Times New Roman" w:hAnsi="Times New Roman" w:eastAsia="宋体" w:cs="Times New Roman"/>
                <w:color w:val="auto"/>
                <w:lang w:eastAsia="zh-CN"/>
              </w:rPr>
            </w:pPr>
            <w:r>
              <w:rPr>
                <w:rFonts w:ascii="Times New Roman" w:hAnsi="宋体" w:eastAsia="宋体" w:cs="Times New Roman"/>
                <w:color w:val="auto"/>
                <w:lang w:eastAsia="zh-CN"/>
              </w:rPr>
              <w:t>黑</w:t>
            </w:r>
          </w:p>
        </w:tc>
        <w:tc>
          <w:tcPr>
            <w:tcW w:w="1152" w:type="dxa"/>
            <w:noWrap w:val="0"/>
            <w:vAlign w:val="center"/>
          </w:tcPr>
          <w:p w14:paraId="2C7C470C">
            <w:pPr>
              <w:widowControl w:val="0"/>
              <w:tabs>
                <w:tab w:val="left" w:pos="0"/>
              </w:tabs>
              <w:spacing w:line="500" w:lineRule="exact"/>
              <w:jc w:val="center"/>
              <w:rPr>
                <w:rFonts w:hint="default" w:ascii="Times New Roman" w:hAnsi="Times New Roman" w:eastAsia="宋体" w:cs="Times New Roman"/>
                <w:color w:val="auto"/>
                <w:kern w:val="2"/>
                <w:lang w:val="en-US" w:eastAsia="zh-CN"/>
              </w:rPr>
            </w:pPr>
            <w:r>
              <w:rPr>
                <w:rFonts w:hint="eastAsia" w:ascii="Times New Roman" w:hAnsi="Times New Roman" w:eastAsia="宋体" w:cs="Times New Roman"/>
                <w:color w:val="auto"/>
                <w:kern w:val="2"/>
                <w:lang w:val="en-US" w:eastAsia="zh-CN"/>
              </w:rPr>
              <w:t>3733</w:t>
            </w:r>
          </w:p>
        </w:tc>
        <w:tc>
          <w:tcPr>
            <w:tcW w:w="1209" w:type="dxa"/>
            <w:noWrap w:val="0"/>
            <w:vAlign w:val="center"/>
          </w:tcPr>
          <w:p w14:paraId="0B0A3EE2">
            <w:pPr>
              <w:widowControl w:val="0"/>
              <w:tabs>
                <w:tab w:val="left" w:pos="0"/>
              </w:tabs>
              <w:spacing w:line="500" w:lineRule="exact"/>
              <w:jc w:val="center"/>
              <w:rPr>
                <w:rFonts w:hint="default" w:ascii="Times New Roman" w:hAnsi="Times New Roman" w:eastAsia="宋体" w:cs="Times New Roman"/>
                <w:color w:val="auto"/>
                <w:kern w:val="2"/>
                <w:lang w:val="en-US" w:eastAsia="zh-CN"/>
              </w:rPr>
            </w:pPr>
            <w:r>
              <w:rPr>
                <w:rFonts w:hint="eastAsia" w:ascii="Times New Roman" w:hAnsi="Times New Roman" w:eastAsia="宋体" w:cs="Times New Roman"/>
                <w:color w:val="auto"/>
                <w:kern w:val="2"/>
                <w:lang w:val="en-US" w:eastAsia="zh-CN"/>
              </w:rPr>
              <w:t>170</w:t>
            </w:r>
          </w:p>
        </w:tc>
      </w:tr>
    </w:tbl>
    <w:p w14:paraId="2BA77A19">
      <w:pPr>
        <w:widowControl w:val="0"/>
        <w:kinsoku/>
        <w:autoSpaceDE/>
        <w:autoSpaceDN/>
        <w:adjustRightInd/>
        <w:snapToGrid/>
        <w:spacing w:line="600" w:lineRule="exact"/>
        <w:ind w:firstLine="640" w:firstLineChars="200"/>
        <w:textAlignment w:val="auto"/>
        <w:rPr>
          <w:rFonts w:ascii="仿宋_GB2312" w:hAnsi="仿宋_GB2312" w:eastAsia="仿宋_GB2312" w:cs="仿宋_GB2312"/>
          <w:color w:val="auto"/>
          <w:sz w:val="32"/>
          <w:szCs w:val="32"/>
          <w:lang w:eastAsia="zh-CN"/>
        </w:rPr>
      </w:pPr>
      <w:r>
        <w:rPr>
          <w:rFonts w:hint="default" w:ascii="仿宋_GB2312" w:hAnsi="仿宋_GB2312" w:eastAsia="仿宋_GB2312" w:cs="仿宋_GB2312"/>
          <w:color w:val="auto"/>
          <w:sz w:val="32"/>
          <w:szCs w:val="32"/>
          <w:lang w:val="en-US" w:eastAsia="zh-CN"/>
        </w:rPr>
        <mc:AlternateContent>
          <mc:Choice Requires="wps">
            <w:drawing>
              <wp:anchor distT="0" distB="0" distL="114300" distR="114300" simplePos="0" relativeHeight="251662336" behindDoc="0" locked="0" layoutInCell="1" allowOverlap="1">
                <wp:simplePos x="0" y="0"/>
                <wp:positionH relativeFrom="column">
                  <wp:posOffset>6877050</wp:posOffset>
                </wp:positionH>
                <wp:positionV relativeFrom="paragraph">
                  <wp:posOffset>1654175</wp:posOffset>
                </wp:positionV>
                <wp:extent cx="116840" cy="11176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16840" cy="111760"/>
                        </a:xfrm>
                        <a:prstGeom prst="rect">
                          <a:avLst/>
                        </a:prstGeom>
                        <a:noFill/>
                        <a:ln>
                          <a:noFill/>
                        </a:ln>
                        <a:effectLst/>
                      </wps:spPr>
                      <wps:txbx>
                        <w:txbxContent>
                          <w:p w14:paraId="56D6A79D">
                            <w:pPr>
                              <w:spacing w:before="20" w:line="188" w:lineRule="auto"/>
                              <w:ind w:left="20"/>
                              <w:rPr>
                                <w:rFonts w:ascii="Times New Roman" w:hAnsi="Times New Roman" w:eastAsia="Times New Roman" w:cs="Times New Roman"/>
                                <w:sz w:val="15"/>
                                <w:szCs w:val="15"/>
                              </w:rPr>
                            </w:pPr>
                            <w:r>
                              <w:rPr>
                                <w:rFonts w:ascii="Times New Roman" w:hAnsi="Times New Roman" w:eastAsia="Times New Roman" w:cs="Times New Roman"/>
                                <w:spacing w:val="-2"/>
                                <w:sz w:val="15"/>
                                <w:szCs w:val="15"/>
                              </w:rPr>
                              <w:t>30</w:t>
                            </w:r>
                          </w:p>
                        </w:txbxContent>
                      </wps:txbx>
                      <wps:bodyPr wrap="square" lIns="0" tIns="0" rIns="0" bIns="0" upright="1"/>
                    </wps:wsp>
                  </a:graphicData>
                </a:graphic>
              </wp:anchor>
            </w:drawing>
          </mc:Choice>
          <mc:Fallback>
            <w:pict>
              <v:shape id="文本框 1" o:spid="_x0000_s1026" o:spt="202" type="#_x0000_t202" style="position:absolute;left:0pt;margin-left:541.5pt;margin-top:130.25pt;height:8.8pt;width:9.2pt;z-index:251662336;mso-width-relative:page;mso-height-relative:page;" filled="f" stroked="f" coordsize="21600,21600" o:gfxdata="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O/MbRLaAAAADQEAAA8AAAAAAAAAAQAgAAAAIgAAAGRycy9k&#10;b3ducmV2LnhtbFBLAQIUABQAAAAIAIdO4kDB8jANxwEAAI0DAAAOAAAAAAAAAAEAIAAAACkBAABk&#10;cnMvZTJvRG9jLnhtbFBLBQYAAAAABgAGAFkBAABiBQAAAAA=&#10;">
                <v:fill on="f" focussize="0,0"/>
                <v:stroke on="f"/>
                <v:imagedata o:title=""/>
                <o:lock v:ext="edit" aspectratio="f"/>
                <v:textbox inset="0mm,0mm,0mm,0mm">
                  <w:txbxContent>
                    <w:p w14:paraId="56D6A79D">
                      <w:pPr>
                        <w:spacing w:before="20" w:line="188" w:lineRule="auto"/>
                        <w:ind w:left="20"/>
                        <w:rPr>
                          <w:rFonts w:ascii="Times New Roman" w:hAnsi="Times New Roman" w:eastAsia="Times New Roman" w:cs="Times New Roman"/>
                          <w:sz w:val="15"/>
                          <w:szCs w:val="15"/>
                        </w:rPr>
                      </w:pPr>
                      <w:r>
                        <w:rPr>
                          <w:rFonts w:ascii="Times New Roman" w:hAnsi="Times New Roman" w:eastAsia="Times New Roman" w:cs="Times New Roman"/>
                          <w:spacing w:val="-2"/>
                          <w:sz w:val="15"/>
                          <w:szCs w:val="15"/>
                        </w:rPr>
                        <w:t>30</w:t>
                      </w:r>
                    </w:p>
                  </w:txbxContent>
                </v:textbox>
              </v:shape>
            </w:pict>
          </mc:Fallback>
        </mc:AlternateContent>
      </w:r>
      <w:r>
        <w:rPr>
          <w:rFonts w:hint="default" w:ascii="仿宋_GB2312" w:hAnsi="仿宋_GB2312" w:eastAsia="仿宋_GB2312" w:cs="仿宋_GB2312"/>
          <w:color w:val="auto"/>
          <w:sz w:val="32"/>
          <w:szCs w:val="32"/>
          <w:lang w:val="en-US" w:eastAsia="zh-CN"/>
        </w:rPr>
        <w:drawing>
          <wp:anchor distT="0" distB="0" distL="114300" distR="114300" simplePos="0" relativeHeight="251661312" behindDoc="0" locked="0" layoutInCell="1" allowOverlap="1">
            <wp:simplePos x="0" y="0"/>
            <wp:positionH relativeFrom="column">
              <wp:posOffset>6883400</wp:posOffset>
            </wp:positionH>
            <wp:positionV relativeFrom="paragraph">
              <wp:posOffset>1752600</wp:posOffset>
            </wp:positionV>
            <wp:extent cx="133350" cy="76200"/>
            <wp:effectExtent l="0" t="0" r="0" b="0"/>
            <wp:wrapNone/>
            <wp:docPr id="3" name="IM 14"/>
            <wp:cNvGraphicFramePr/>
            <a:graphic xmlns:a="http://schemas.openxmlformats.org/drawingml/2006/main">
              <a:graphicData uri="http://schemas.openxmlformats.org/drawingml/2006/picture">
                <pic:pic xmlns:pic="http://schemas.openxmlformats.org/drawingml/2006/picture">
                  <pic:nvPicPr>
                    <pic:cNvPr id="3" name="IM 14"/>
                    <pic:cNvPicPr/>
                  </pic:nvPicPr>
                  <pic:blipFill>
                    <a:blip r:embed="rId5"/>
                    <a:stretch>
                      <a:fillRect/>
                    </a:stretch>
                  </pic:blipFill>
                  <pic:spPr>
                    <a:xfrm>
                      <a:off x="0" y="0"/>
                      <a:ext cx="133350" cy="76200"/>
                    </a:xfrm>
                    <a:prstGeom prst="rect">
                      <a:avLst/>
                    </a:prstGeom>
                    <a:noFill/>
                    <a:ln>
                      <a:noFill/>
                    </a:ln>
                  </pic:spPr>
                </pic:pic>
              </a:graphicData>
            </a:graphic>
          </wp:anchor>
        </w:drawing>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.车辆使用服务费价格为控制（最高限价）价，服务企业在此基础统一</w:t>
      </w:r>
      <w:r>
        <w:rPr>
          <w:rFonts w:hint="eastAsia" w:ascii="仿宋_GB2312" w:hAnsi="仿宋_GB2312" w:eastAsia="仿宋_GB2312" w:cs="仿宋_GB2312"/>
          <w:color w:val="auto"/>
          <w:sz w:val="32"/>
          <w:szCs w:val="32"/>
          <w:u w:val="single"/>
          <w:lang w:val="en-US" w:eastAsia="zh-CN"/>
        </w:rPr>
        <w:t xml:space="preserve">       折</w:t>
      </w:r>
      <w:r>
        <w:rPr>
          <w:rFonts w:hint="eastAsia" w:ascii="仿宋_GB2312" w:hAnsi="仿宋_GB2312" w:eastAsia="仿宋_GB2312" w:cs="仿宋_GB2312"/>
          <w:color w:val="auto"/>
          <w:sz w:val="32"/>
          <w:szCs w:val="32"/>
          <w:lang w:eastAsia="zh-CN"/>
        </w:rPr>
        <w:t>。运行维修服务费按照每月</w:t>
      </w:r>
      <w:r>
        <w:rPr>
          <w:rFonts w:hint="eastAsia" w:ascii="仿宋_GB2312" w:hAnsi="仿宋_GB2312" w:eastAsia="仿宋_GB2312" w:cs="仿宋_GB2312"/>
          <w:color w:val="auto"/>
          <w:sz w:val="32"/>
          <w:szCs w:val="32"/>
          <w:lang w:val="en-US" w:eastAsia="zh-CN"/>
        </w:rPr>
        <w:t>170</w:t>
      </w:r>
      <w:r>
        <w:rPr>
          <w:rFonts w:hint="eastAsia" w:ascii="仿宋_GB2312" w:hAnsi="仿宋_GB2312" w:eastAsia="仿宋_GB2312" w:cs="仿宋_GB2312"/>
          <w:color w:val="auto"/>
          <w:sz w:val="32"/>
          <w:szCs w:val="32"/>
          <w:lang w:eastAsia="zh-CN"/>
        </w:rPr>
        <w:t>元预收，项目实施末尾月进行核算，按照实际使用情况据实结算。</w:t>
      </w:r>
    </w:p>
    <w:p w14:paraId="2A97A67A">
      <w:pPr>
        <w:widowControl w:val="0"/>
        <w:kinsoku/>
        <w:autoSpaceDE/>
        <w:autoSpaceDN/>
        <w:adjustRightInd/>
        <w:snapToGrid/>
        <w:spacing w:line="60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.新能源车辆租赁运行服务项目服务费包含两部分，一部分为车辆使用服务费，另一部分为运行维护服务费，运行维护服务费与租赁服务企业据实结算。</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b/>
          <w:bCs/>
          <w:color w:val="auto"/>
          <w:sz w:val="32"/>
          <w:szCs w:val="32"/>
          <w:lang w:eastAsia="zh-CN"/>
        </w:rPr>
        <w:t>车辆使用服务费</w:t>
      </w:r>
      <w:r>
        <w:rPr>
          <w:rFonts w:hint="eastAsia" w:ascii="仿宋_GB2312" w:hAnsi="仿宋_GB2312" w:eastAsia="仿宋_GB2312" w:cs="仿宋_GB2312"/>
          <w:color w:val="auto"/>
          <w:sz w:val="32"/>
          <w:szCs w:val="32"/>
          <w:lang w:eastAsia="zh-CN"/>
        </w:rPr>
        <w:t>包含人工管理服务、车辆租赁服务、车辆保险服务、保养手册内的保养服务、车辆保险内的维修服务、年审服务、7kW智能充电桩及充电桩建设费服务（线长5-10米）、公务用车标识喷涂服务、首次车辆固定装潢服务、ETC设备安装服务、挂牌服务、税费等内容。</w:t>
      </w:r>
      <w:r>
        <w:rPr>
          <w:rFonts w:hint="eastAsia" w:ascii="仿宋_GB2312" w:hAnsi="仿宋_GB2312" w:eastAsia="仿宋_GB2312" w:cs="仿宋_GB2312"/>
          <w:b/>
          <w:bCs/>
          <w:color w:val="auto"/>
          <w:sz w:val="32"/>
          <w:szCs w:val="32"/>
          <w:lang w:eastAsia="zh-CN"/>
        </w:rPr>
        <w:t>运行维护服务费</w:t>
      </w:r>
      <w:r>
        <w:rPr>
          <w:rFonts w:hint="eastAsia" w:ascii="仿宋_GB2312" w:hAnsi="仿宋_GB2312" w:eastAsia="仿宋_GB2312" w:cs="仿宋_GB2312"/>
          <w:color w:val="auto"/>
          <w:sz w:val="32"/>
          <w:szCs w:val="32"/>
          <w:lang w:eastAsia="zh-CN"/>
        </w:rPr>
        <w:t>包含但不限于车辆充电服务、ETC过路服务、停车服务、洗车服务、车辆易耗件、易损件维修更换等因实际使用过程产生的费用。</w:t>
      </w:r>
    </w:p>
    <w:p w14:paraId="20330F70">
      <w:pPr>
        <w:widowControl w:val="0"/>
        <w:kinsoku/>
        <w:autoSpaceDE/>
        <w:autoSpaceDN/>
        <w:adjustRightInd/>
        <w:snapToGrid/>
        <w:spacing w:line="600" w:lineRule="exact"/>
        <w:ind w:firstLine="640" w:firstLineChars="200"/>
        <w:textAlignment w:val="auto"/>
        <w:rPr>
          <w:rFonts w:hint="eastAsia" w:ascii="黑体" w:hAnsi="黑体" w:eastAsia="黑体" w:cs="黑体"/>
          <w:spacing w:val="-11"/>
          <w:sz w:val="32"/>
          <w:szCs w:val="32"/>
          <w:lang w:eastAsia="zh-CN"/>
        </w:rPr>
      </w:pPr>
      <w:r>
        <w:rPr>
          <w:rFonts w:hint="default" w:ascii="仿宋_GB2312" w:hAnsi="仿宋_GB2312" w:eastAsia="仿宋_GB2312" w:cs="仿宋_GB2312"/>
          <w:color w:val="auto"/>
          <w:sz w:val="32"/>
          <w:szCs w:val="32"/>
          <w:lang w:val="en-US" w:eastAsia="zh-CN"/>
        </w:rPr>
        <mc:AlternateContent>
          <mc:Choice Requires="wps">
            <w:drawing>
              <wp:anchor distT="0" distB="0" distL="114300" distR="114300" simplePos="0" relativeHeight="251660288" behindDoc="0" locked="0" layoutInCell="1" allowOverlap="1">
                <wp:simplePos x="0" y="0"/>
                <wp:positionH relativeFrom="column">
                  <wp:posOffset>6877050</wp:posOffset>
                </wp:positionH>
                <wp:positionV relativeFrom="paragraph">
                  <wp:posOffset>1654175</wp:posOffset>
                </wp:positionV>
                <wp:extent cx="116840" cy="11176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16840" cy="111760"/>
                        </a:xfrm>
                        <a:prstGeom prst="rect">
                          <a:avLst/>
                        </a:prstGeom>
                        <a:noFill/>
                        <a:ln>
                          <a:noFill/>
                        </a:ln>
                        <a:effectLst/>
                      </wps:spPr>
                      <wps:txbx>
                        <w:txbxContent>
                          <w:p w14:paraId="32E04B25">
                            <w:pPr>
                              <w:spacing w:before="20" w:line="188" w:lineRule="auto"/>
                              <w:ind w:left="20"/>
                              <w:rPr>
                                <w:rFonts w:ascii="Times New Roman" w:hAnsi="Times New Roman" w:eastAsia="Times New Roman" w:cs="Times New Roman"/>
                                <w:sz w:val="15"/>
                                <w:szCs w:val="15"/>
                              </w:rPr>
                            </w:pPr>
                            <w:r>
                              <w:rPr>
                                <w:rFonts w:ascii="Times New Roman" w:hAnsi="Times New Roman" w:eastAsia="Times New Roman" w:cs="Times New Roman"/>
                                <w:spacing w:val="-2"/>
                                <w:sz w:val="15"/>
                                <w:szCs w:val="15"/>
                              </w:rPr>
                              <w:t>30</w:t>
                            </w:r>
                          </w:p>
                        </w:txbxContent>
                      </wps:txbx>
                      <wps:bodyPr wrap="square" lIns="0" tIns="0" rIns="0" bIns="0" upright="1"/>
                    </wps:wsp>
                  </a:graphicData>
                </a:graphic>
              </wp:anchor>
            </w:drawing>
          </mc:Choice>
          <mc:Fallback>
            <w:pict>
              <v:shape id="文本框 1" o:spid="_x0000_s1026" o:spt="202" type="#_x0000_t202" style="position:absolute;left:0pt;margin-left:541.5pt;margin-top:130.25pt;height:8.8pt;width:9.2pt;z-index:251660288;mso-width-relative:page;mso-height-relative:page;" filled="f" stroked="f" coordsize="21600,21600" o:gfxdata="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78xtEtoAAAANAQAADwAAAAAAAAABACAAAAAiAAAAZHJzL2Rv&#10;d25yZXYueG1sUEsBAhQAFAAAAAgAh07iQKXOhArGAQAAjQMAAA4AAAAAAAAAAQAgAAAAKQEAAGRy&#10;cy9lMm9Eb2MueG1sUEsFBgAAAAAGAAYAWQEAAGEFAAAAAA==&#10;">
                <v:fill on="f" focussize="0,0"/>
                <v:stroke on="f"/>
                <v:imagedata o:title=""/>
                <o:lock v:ext="edit" aspectratio="f"/>
                <v:textbox inset="0mm,0mm,0mm,0mm">
                  <w:txbxContent>
                    <w:p w14:paraId="32E04B25">
                      <w:pPr>
                        <w:spacing w:before="20" w:line="188" w:lineRule="auto"/>
                        <w:ind w:left="20"/>
                        <w:rPr>
                          <w:rFonts w:ascii="Times New Roman" w:hAnsi="Times New Roman" w:eastAsia="Times New Roman" w:cs="Times New Roman"/>
                          <w:sz w:val="15"/>
                          <w:szCs w:val="15"/>
                        </w:rPr>
                      </w:pPr>
                      <w:r>
                        <w:rPr>
                          <w:rFonts w:ascii="Times New Roman" w:hAnsi="Times New Roman" w:eastAsia="Times New Roman" w:cs="Times New Roman"/>
                          <w:spacing w:val="-2"/>
                          <w:sz w:val="15"/>
                          <w:szCs w:val="15"/>
                        </w:rPr>
                        <w:t>30</w:t>
                      </w:r>
                    </w:p>
                  </w:txbxContent>
                </v:textbox>
              </v:shape>
            </w:pict>
          </mc:Fallback>
        </mc:AlternateContent>
      </w:r>
      <w:r>
        <w:rPr>
          <w:rFonts w:hint="default" w:ascii="仿宋_GB2312" w:hAnsi="仿宋_GB2312" w:eastAsia="仿宋_GB2312" w:cs="仿宋_GB2312"/>
          <w:color w:val="auto"/>
          <w:sz w:val="32"/>
          <w:szCs w:val="32"/>
          <w:lang w:val="en-US" w:eastAsia="zh-CN"/>
        </w:rPr>
        <w:drawing>
          <wp:anchor distT="0" distB="0" distL="114300" distR="114300" simplePos="0" relativeHeight="251659264" behindDoc="0" locked="0" layoutInCell="1" allowOverlap="1">
            <wp:simplePos x="0" y="0"/>
            <wp:positionH relativeFrom="column">
              <wp:posOffset>6883400</wp:posOffset>
            </wp:positionH>
            <wp:positionV relativeFrom="paragraph">
              <wp:posOffset>1752600</wp:posOffset>
            </wp:positionV>
            <wp:extent cx="133350" cy="76200"/>
            <wp:effectExtent l="0" t="0" r="0" b="0"/>
            <wp:wrapNone/>
            <wp:docPr id="1" name="IM 14"/>
            <wp:cNvGraphicFramePr/>
            <a:graphic xmlns:a="http://schemas.openxmlformats.org/drawingml/2006/main">
              <a:graphicData uri="http://schemas.openxmlformats.org/drawingml/2006/picture">
                <pic:pic xmlns:pic="http://schemas.openxmlformats.org/drawingml/2006/picture">
                  <pic:nvPicPr>
                    <pic:cNvPr id="1" name="IM 14"/>
                    <pic:cNvPicPr/>
                  </pic:nvPicPr>
                  <pic:blipFill>
                    <a:blip r:embed="rId5"/>
                    <a:stretch>
                      <a:fillRect/>
                    </a:stretch>
                  </pic:blipFill>
                  <pic:spPr>
                    <a:xfrm>
                      <a:off x="0" y="0"/>
                      <a:ext cx="133350" cy="76200"/>
                    </a:xfrm>
                    <a:prstGeom prst="rect">
                      <a:avLst/>
                    </a:prstGeom>
                    <a:noFill/>
                    <a:ln>
                      <a:noFill/>
                    </a:ln>
                  </pic:spPr>
                </pic:pic>
              </a:graphicData>
            </a:graphic>
          </wp:anchor>
        </w:drawing>
      </w:r>
      <w:r>
        <w:rPr>
          <w:rFonts w:hint="eastAsia" w:ascii="黑体" w:hAnsi="黑体" w:eastAsia="黑体" w:cs="黑体"/>
          <w:spacing w:val="-11"/>
          <w:sz w:val="32"/>
          <w:szCs w:val="32"/>
          <w:lang w:eastAsia="zh-CN"/>
        </w:rPr>
        <w:t>四、资金支付方式及安排</w:t>
      </w:r>
    </w:p>
    <w:p w14:paraId="6469822C">
      <w:pPr>
        <w:widowControl w:val="0"/>
        <w:kinsoku/>
        <w:autoSpaceDE/>
        <w:autoSpaceDN/>
        <w:adjustRightInd/>
        <w:snapToGrid/>
        <w:spacing w:line="60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w:t>
      </w:r>
      <w:r>
        <w:rPr>
          <w:rFonts w:hint="eastAsia" w:ascii="仿宋_GB2312" w:hAnsi="仿宋_GB2312" w:eastAsia="仿宋_GB2312" w:cs="仿宋_GB2312"/>
          <w:sz w:val="32"/>
          <w:szCs w:val="32"/>
          <w:lang w:eastAsia="zh-CN"/>
        </w:rPr>
        <w:t>因国家有关法律、法规、政策调整等因素，导致合同价款需变更时，经甲乙双方协商一致并签订书面变更协议</w:t>
      </w:r>
      <w:r>
        <w:rPr>
          <w:rFonts w:hint="eastAsia" w:ascii="仿宋_GB2312" w:hAnsi="仿宋_GB2312" w:eastAsia="仿宋_GB2312" w:cs="仿宋_GB2312"/>
          <w:color w:val="auto"/>
          <w:sz w:val="32"/>
          <w:szCs w:val="32"/>
          <w:lang w:eastAsia="zh-CN"/>
        </w:rPr>
        <w:t>后，合同价款方可做变更。</w:t>
      </w:r>
    </w:p>
    <w:p w14:paraId="4CB4742E">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2.自合同生效日起，甲方一次性支付租赁服务费用，同时甲方可根据自身资金安排情况统筹向乙方支付合同金额。</w:t>
      </w:r>
    </w:p>
    <w:p w14:paraId="64CCEC3E">
      <w:pPr>
        <w:spacing w:line="600" w:lineRule="exact"/>
        <w:ind w:firstLine="640" w:firstLineChars="200"/>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sz w:val="32"/>
          <w:szCs w:val="32"/>
          <w:lang w:eastAsia="zh-CN"/>
        </w:rPr>
        <w:t>3.甲方在向乙方支付合同价款前，乙方应向甲方出具等额合法正规发票。</w:t>
      </w:r>
      <w:r>
        <w:rPr>
          <w:rFonts w:hint="eastAsia" w:ascii="仿宋_GB2312" w:hAnsi="仿宋_GB2312" w:eastAsia="仿宋_GB2312" w:cs="仿宋_GB2312"/>
          <w:color w:val="auto"/>
          <w:sz w:val="32"/>
          <w:szCs w:val="32"/>
          <w:lang w:eastAsia="zh-CN"/>
        </w:rPr>
        <w:t>每季度甲方对乙方实行绩效服务考核，按照考核结果支付合同金额。乙方有权监管甲方对车辆的使用。</w:t>
      </w:r>
    </w:p>
    <w:p w14:paraId="48309D76">
      <w:pPr>
        <w:spacing w:before="54" w:line="600" w:lineRule="exact"/>
        <w:ind w:firstLine="596" w:firstLineChars="200"/>
        <w:outlineLvl w:val="0"/>
        <w:rPr>
          <w:rFonts w:hint="eastAsia" w:ascii="黑体" w:hAnsi="黑体" w:eastAsia="黑体" w:cs="黑体"/>
          <w:spacing w:val="-11"/>
          <w:sz w:val="32"/>
          <w:szCs w:val="32"/>
          <w:lang w:eastAsia="zh-CN"/>
        </w:rPr>
      </w:pPr>
      <w:r>
        <w:rPr>
          <w:rFonts w:hint="eastAsia" w:ascii="黑体" w:hAnsi="黑体" w:eastAsia="黑体" w:cs="黑体"/>
          <w:spacing w:val="-11"/>
          <w:sz w:val="32"/>
          <w:szCs w:val="32"/>
          <w:lang w:eastAsia="zh-CN"/>
        </w:rPr>
        <w:t>五 、交付标准、时间及地点</w:t>
      </w:r>
    </w:p>
    <w:p w14:paraId="44EBE618">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楷体_GB2312" w:hAnsi="楷体_GB2312" w:eastAsia="楷体_GB2312" w:cs="楷体_GB2312"/>
          <w:spacing w:val="2"/>
          <w:sz w:val="32"/>
          <w:szCs w:val="32"/>
          <w:lang w:eastAsia="zh-CN"/>
        </w:rPr>
        <w:t>1.交付标准：</w:t>
      </w:r>
      <w:r>
        <w:rPr>
          <w:rFonts w:hint="eastAsia" w:ascii="仿宋_GB2312" w:hAnsi="仿宋_GB2312" w:eastAsia="仿宋_GB2312" w:cs="仿宋_GB2312"/>
          <w:spacing w:val="2"/>
          <w:sz w:val="32"/>
          <w:szCs w:val="32"/>
          <w:lang w:eastAsia="zh-CN"/>
        </w:rPr>
        <w:t>提供性能良好、证件齐全有效、装饰齐全的车辆，且车辆交付时总行驶里程数在300公里以内的新车。具体内容如下：车辆行驶证、车辆基本装饰（如太阳膜、脚地垫等)、</w:t>
      </w:r>
      <w:r>
        <w:rPr>
          <w:rFonts w:hint="eastAsia" w:ascii="仿宋_GB2312" w:hAnsi="仿宋_GB2312" w:eastAsia="仿宋_GB2312" w:cs="仿宋_GB2312"/>
          <w:color w:val="auto"/>
          <w:spacing w:val="2"/>
          <w:sz w:val="32"/>
          <w:szCs w:val="32"/>
          <w:lang w:eastAsia="zh-CN"/>
        </w:rPr>
        <w:t>定位系统、公务用车标识、行车记录仪</w:t>
      </w:r>
      <w:r>
        <w:rPr>
          <w:rFonts w:hint="eastAsia" w:ascii="仿宋_GB2312" w:hAnsi="仿宋_GB2312" w:eastAsia="仿宋_GB2312" w:cs="仿宋_GB2312"/>
          <w:spacing w:val="2"/>
          <w:sz w:val="32"/>
          <w:szCs w:val="32"/>
          <w:lang w:eastAsia="zh-CN"/>
        </w:rPr>
        <w:t>、有效的交强险商业险保单（300万责任险、50万车上人）、</w:t>
      </w:r>
      <w:r>
        <w:rPr>
          <w:rFonts w:hint="eastAsia" w:ascii="仿宋_GB2312" w:hAnsi="仿宋_GB2312" w:eastAsia="仿宋_GB2312" w:cs="仿宋_GB2312"/>
          <w:color w:val="auto"/>
          <w:spacing w:val="2"/>
          <w:sz w:val="32"/>
          <w:szCs w:val="32"/>
          <w:lang w:eastAsia="zh-CN"/>
        </w:rPr>
        <w:t>高速ETC设备以及车辆首次清洁用品</w:t>
      </w:r>
      <w:r>
        <w:rPr>
          <w:rFonts w:hint="eastAsia" w:ascii="仿宋_GB2312" w:hAnsi="仿宋_GB2312" w:eastAsia="仿宋_GB2312" w:cs="仿宋_GB2312"/>
          <w:spacing w:val="2"/>
          <w:sz w:val="32"/>
          <w:szCs w:val="32"/>
          <w:lang w:eastAsia="zh-CN"/>
        </w:rPr>
        <w:t>等。</w:t>
      </w:r>
    </w:p>
    <w:p w14:paraId="164F8AB4">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楷体_GB2312" w:hAnsi="楷体_GB2312" w:eastAsia="楷体_GB2312" w:cs="楷体_GB2312"/>
          <w:spacing w:val="2"/>
          <w:sz w:val="32"/>
          <w:szCs w:val="32"/>
          <w:lang w:eastAsia="zh-CN"/>
        </w:rPr>
        <w:t>2.车辆交付时间：</w:t>
      </w:r>
      <w:r>
        <w:rPr>
          <w:rFonts w:hint="eastAsia" w:ascii="仿宋_GB2312" w:hAnsi="仿宋_GB2312" w:eastAsia="仿宋_GB2312" w:cs="仿宋_GB2312"/>
          <w:spacing w:val="2"/>
          <w:sz w:val="32"/>
          <w:szCs w:val="32"/>
          <w:u w:val="single"/>
          <w:lang w:eastAsia="zh-CN"/>
        </w:rPr>
        <w:t xml:space="preserve">    年   月   日。</w:t>
      </w:r>
    </w:p>
    <w:p w14:paraId="200C3EF5">
      <w:pPr>
        <w:kinsoku/>
        <w:spacing w:line="600" w:lineRule="exact"/>
        <w:ind w:firstLine="648" w:firstLineChars="200"/>
        <w:jc w:val="both"/>
        <w:rPr>
          <w:rFonts w:hint="eastAsia" w:ascii="仿宋_GB2312" w:hAnsi="仿宋_GB2312" w:eastAsia="仿宋_GB2312" w:cs="仿宋_GB2312"/>
          <w:spacing w:val="2"/>
          <w:sz w:val="32"/>
          <w:szCs w:val="32"/>
          <w:u w:val="single"/>
          <w:lang w:eastAsia="zh-CN"/>
        </w:rPr>
      </w:pPr>
      <w:r>
        <w:rPr>
          <w:rFonts w:hint="eastAsia" w:ascii="楷体_GB2312" w:hAnsi="楷体_GB2312" w:eastAsia="楷体_GB2312" w:cs="楷体_GB2312"/>
          <w:spacing w:val="2"/>
          <w:sz w:val="32"/>
          <w:szCs w:val="32"/>
          <w:lang w:eastAsia="zh-CN"/>
        </w:rPr>
        <w:t>3.车辆交付地点：</w:t>
      </w:r>
      <w:r>
        <w:rPr>
          <w:rFonts w:hint="eastAsia" w:ascii="仿宋_GB2312" w:hAnsi="仿宋_GB2312" w:eastAsia="仿宋_GB2312" w:cs="仿宋_GB2312"/>
          <w:spacing w:val="2"/>
          <w:sz w:val="32"/>
          <w:szCs w:val="32"/>
          <w:u w:val="single"/>
          <w:lang w:eastAsia="zh-CN"/>
        </w:rPr>
        <w:t>临潼区集中办公区南院。</w:t>
      </w:r>
    </w:p>
    <w:p w14:paraId="112A9373">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楷体_GB2312" w:hAnsi="楷体_GB2312" w:eastAsia="楷体_GB2312" w:cs="楷体_GB2312"/>
          <w:spacing w:val="2"/>
          <w:sz w:val="32"/>
          <w:szCs w:val="32"/>
          <w:lang w:eastAsia="zh-CN"/>
        </w:rPr>
        <w:t>4.车辆交付方式：</w:t>
      </w:r>
      <w:r>
        <w:rPr>
          <w:rFonts w:hint="eastAsia" w:ascii="仿宋_GB2312" w:hAnsi="仿宋_GB2312" w:eastAsia="仿宋_GB2312" w:cs="仿宋_GB2312"/>
          <w:spacing w:val="2"/>
          <w:sz w:val="32"/>
          <w:szCs w:val="32"/>
          <w:u w:val="single"/>
          <w:lang w:eastAsia="zh-CN"/>
        </w:rPr>
        <w:t>一次性集中交付。</w:t>
      </w:r>
    </w:p>
    <w:p w14:paraId="2E2126FA">
      <w:pPr>
        <w:spacing w:before="54" w:line="600" w:lineRule="exact"/>
        <w:ind w:left="638" w:leftChars="304"/>
        <w:outlineLvl w:val="0"/>
        <w:rPr>
          <w:rFonts w:hint="eastAsia" w:ascii="黑体" w:hAnsi="黑体" w:eastAsia="黑体" w:cs="黑体"/>
          <w:spacing w:val="-11"/>
          <w:sz w:val="32"/>
          <w:szCs w:val="32"/>
          <w:lang w:eastAsia="zh-CN"/>
        </w:rPr>
      </w:pPr>
      <w:r>
        <w:rPr>
          <w:rFonts w:hint="eastAsia" w:ascii="黑体" w:hAnsi="黑体" w:eastAsia="黑体" w:cs="黑体"/>
          <w:spacing w:val="-11"/>
          <w:sz w:val="32"/>
          <w:szCs w:val="32"/>
          <w:lang w:eastAsia="zh-CN"/>
        </w:rPr>
        <w:t>六、甲方的权力和义务</w:t>
      </w:r>
    </w:p>
    <w:p w14:paraId="375AA4E3">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1.甲方有权利要求乙方按照《合同书》中对应的职责提供相应的服务和车辆。对于交车时不符合要求的车辆，甲方有权拒收。</w:t>
      </w:r>
    </w:p>
    <w:p w14:paraId="71B4AFF9">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2.乙方应付而未付的因使用租赁车辆产生的费用，经书面告知乙方并经乙方核实确认后，甲方有权直接在租金中扣减。同时，乙方有义务预存每台车辆充电费及ETC费用。</w:t>
      </w:r>
    </w:p>
    <w:p w14:paraId="7BFC2FFE">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3.甲方有权在合法合规合理的前提下按照车辆使用规范自行分配、使用租赁车辆，乙方不得干预。</w:t>
      </w:r>
    </w:p>
    <w:p w14:paraId="0CCD620C">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4.甲方有义务按时足额向乙方支付租金。</w:t>
      </w:r>
    </w:p>
    <w:p w14:paraId="0472340E">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5.合同有效期内，乙方按合同标准完成服务，甲方有义务在本合同有效期届满前15日内及时与乙方续签合同，直至本项目履行期限届满（乙方违约导致本合同或本项目提前终止的除外）。</w:t>
      </w:r>
    </w:p>
    <w:p w14:paraId="470ACA1D">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6.甲方应当遵守道路交通法律法规及相关规定，按照约定用途，遵照车辆性能、操作规程，合法合规使用车辆，按照相关操作规范及标准为租赁车辆充电，配合乙方进行租赁车辆的日常保养、车检等。</w:t>
      </w:r>
    </w:p>
    <w:p w14:paraId="7125ABE0">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7.甲方有义务在租赁期间应对租赁车辆上驾乘人员的安全负责，并对其财产进行妥善保管。</w:t>
      </w:r>
    </w:p>
    <w:p w14:paraId="5E05A53C">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8.租赁车辆由甲方负责管理，甲方通过信息化系统平台完成审核、调度、派遣、监管程序。指派租赁车辆用于各级党政机关公务出行。</w:t>
      </w:r>
    </w:p>
    <w:p w14:paraId="1B37EE58">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9.甲方有义务配合乙方车辆的年检，且甲方应妥善保管和存放租赁车辆及其附属设施、有效证件标志，维持车辆原状。未经乙方书面许可，甲方不得擅自改装、更换、增设他物包括但不限于车辆的任何部件、零件、内饰、外观。如有变动造成车辆不能进行正常年检的，由甲方负责。</w:t>
      </w:r>
    </w:p>
    <w:p w14:paraId="0F49017E">
      <w:pPr>
        <w:widowControl w:val="0"/>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10.甲方应定期检查机油、刹车油、防冻液、离合器、阻力转向油等，如发现任何问题，</w:t>
      </w:r>
      <w:r>
        <w:rPr>
          <w:rFonts w:hint="eastAsia" w:ascii="仿宋_GB2312" w:hAnsi="仿宋_GB2312" w:eastAsia="仿宋_GB2312" w:cs="仿宋_GB2312"/>
          <w:color w:val="auto"/>
          <w:spacing w:val="2"/>
          <w:sz w:val="32"/>
          <w:szCs w:val="32"/>
          <w:lang w:eastAsia="zh-CN"/>
        </w:rPr>
        <w:t>应及时通知乙方进行维修和保养</w:t>
      </w:r>
      <w:r>
        <w:rPr>
          <w:rFonts w:hint="eastAsia" w:ascii="仿宋_GB2312" w:hAnsi="仿宋_GB2312" w:eastAsia="仿宋_GB2312" w:cs="仿宋_GB2312"/>
          <w:spacing w:val="2"/>
          <w:sz w:val="32"/>
          <w:szCs w:val="32"/>
          <w:lang w:eastAsia="zh-CN"/>
        </w:rPr>
        <w:t>，以保证车辆质量良好。</w:t>
      </w:r>
    </w:p>
    <w:p w14:paraId="0FC81C72">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11.在租赁车辆需要</w:t>
      </w:r>
      <w:r>
        <w:rPr>
          <w:rFonts w:hint="eastAsia" w:ascii="仿宋_GB2312" w:hAnsi="仿宋_GB2312" w:eastAsia="仿宋_GB2312" w:cs="仿宋_GB2312"/>
          <w:color w:val="auto"/>
          <w:spacing w:val="2"/>
          <w:sz w:val="32"/>
          <w:szCs w:val="32"/>
          <w:lang w:eastAsia="zh-CN"/>
        </w:rPr>
        <w:t>维修</w:t>
      </w:r>
      <w:r>
        <w:rPr>
          <w:rFonts w:hint="eastAsia" w:ascii="仿宋_GB2312" w:hAnsi="仿宋_GB2312" w:eastAsia="仿宋_GB2312" w:cs="仿宋_GB2312"/>
          <w:spacing w:val="2"/>
          <w:sz w:val="32"/>
          <w:szCs w:val="32"/>
          <w:lang w:eastAsia="zh-CN"/>
        </w:rPr>
        <w:t>、保养时，甲方应当将车辆送到乙方指定维修机构进行车辆维修保养。</w:t>
      </w:r>
    </w:p>
    <w:p w14:paraId="28D6C327">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12.租赁车辆交付甲方后出现被盗、被抢等情况时，甲方应在第一时间向公安等部门报案并12小时内通知乙方，并协助乙方办理相关手续。另有义务采取合理措施使损失减少到最小。</w:t>
      </w:r>
    </w:p>
    <w:p w14:paraId="7CA48D7B">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13.甲方有义务在合同期满或未履约支付的情况下于租期届满后三个工作日内向乙方归还车辆、车辆备件及相关证件，且车辆的状况应当按照交付时的原状归还，但正常使用的损耗和</w:t>
      </w:r>
      <w:r>
        <w:rPr>
          <w:rFonts w:hint="eastAsia" w:ascii="仿宋_GB2312" w:hAnsi="仿宋_GB2312" w:eastAsia="仿宋_GB2312" w:cs="仿宋_GB2312"/>
          <w:color w:val="auto"/>
          <w:spacing w:val="2"/>
          <w:sz w:val="32"/>
          <w:szCs w:val="32"/>
          <w:lang w:eastAsia="zh-CN"/>
        </w:rPr>
        <w:t>乙方未及时履行责任范围内的维修义务所导致的车辆故障除外</w:t>
      </w:r>
      <w:r>
        <w:rPr>
          <w:rFonts w:hint="eastAsia" w:ascii="仿宋_GB2312" w:hAnsi="仿宋_GB2312" w:eastAsia="仿宋_GB2312" w:cs="仿宋_GB2312"/>
          <w:spacing w:val="2"/>
          <w:sz w:val="32"/>
          <w:szCs w:val="32"/>
          <w:lang w:eastAsia="zh-CN"/>
        </w:rPr>
        <w:t>。另需结清还车前因交通违章、违法行为等造成的罚款或费用。如因相关证件遗失需补办，则补办的费用由甲方承担。</w:t>
      </w:r>
    </w:p>
    <w:p w14:paraId="28C666B9">
      <w:pPr>
        <w:spacing w:before="54" w:line="600" w:lineRule="exact"/>
        <w:ind w:firstLine="596" w:firstLineChars="200"/>
        <w:outlineLvl w:val="0"/>
        <w:rPr>
          <w:rFonts w:hint="eastAsia" w:ascii="黑体" w:hAnsi="黑体" w:eastAsia="黑体" w:cs="黑体"/>
          <w:spacing w:val="-11"/>
          <w:sz w:val="32"/>
          <w:szCs w:val="32"/>
          <w:lang w:eastAsia="zh-CN"/>
        </w:rPr>
      </w:pPr>
      <w:r>
        <w:rPr>
          <w:rFonts w:hint="eastAsia" w:ascii="黑体" w:hAnsi="黑体" w:eastAsia="黑体" w:cs="黑体"/>
          <w:spacing w:val="-11"/>
          <w:sz w:val="32"/>
          <w:szCs w:val="32"/>
          <w:lang w:eastAsia="zh-CN"/>
        </w:rPr>
        <w:t>七、乙方的权力和义务</w:t>
      </w:r>
    </w:p>
    <w:p w14:paraId="3A3F5017">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1.乙方有权利按照约定收取甲方支付的租金。</w:t>
      </w:r>
    </w:p>
    <w:p w14:paraId="593F3239">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2.乙方有权在本合同有效期届满前十五日内要求甲方及时续签合同。</w:t>
      </w:r>
    </w:p>
    <w:p w14:paraId="17F54F1D">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3.乙方对交付甲方使用的车辆享有所有权，在甲方正常支付费用期间，乙方不得对车辆进行除抵押外的处置(包括但不限于出租、转让等)。</w:t>
      </w:r>
    </w:p>
    <w:p w14:paraId="09F19BAF">
      <w:pPr>
        <w:widowControl w:val="0"/>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4.乙方有义务按照合同的约定提供服务，包括负责车辆线下出行服务保障、</w:t>
      </w:r>
      <w:r>
        <w:rPr>
          <w:rFonts w:hint="eastAsia" w:ascii="仿宋_GB2312" w:hAnsi="仿宋_GB2312" w:eastAsia="仿宋_GB2312" w:cs="仿宋_GB2312"/>
          <w:color w:val="auto"/>
          <w:spacing w:val="2"/>
          <w:sz w:val="32"/>
          <w:szCs w:val="32"/>
          <w:lang w:eastAsia="zh-CN"/>
        </w:rPr>
        <w:t>车辆日常维修</w:t>
      </w:r>
      <w:r>
        <w:rPr>
          <w:rFonts w:hint="eastAsia" w:ascii="仿宋_GB2312" w:hAnsi="仿宋_GB2312" w:eastAsia="仿宋_GB2312" w:cs="仿宋_GB2312"/>
          <w:spacing w:val="2"/>
          <w:sz w:val="32"/>
          <w:szCs w:val="32"/>
          <w:lang w:eastAsia="zh-CN"/>
        </w:rPr>
        <w:t>保养及相关配套服务。</w:t>
      </w:r>
    </w:p>
    <w:p w14:paraId="70B99B47">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5.除甲方公务用车制式喷涂外,本次服务的全部车辆不得在车辆外部作商业广告宣传。</w:t>
      </w:r>
    </w:p>
    <w:p w14:paraId="544C19AB">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6.所交付的租赁车辆须为陕西省西安市辖区车牌。</w:t>
      </w:r>
    </w:p>
    <w:p w14:paraId="4B387154">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7.</w:t>
      </w:r>
      <w:r>
        <w:rPr>
          <w:rFonts w:hint="eastAsia" w:ascii="仿宋_GB2312" w:hAnsi="仿宋_GB2312" w:eastAsia="仿宋_GB2312" w:cs="仿宋_GB2312"/>
          <w:color w:val="auto"/>
          <w:spacing w:val="2"/>
          <w:sz w:val="32"/>
          <w:szCs w:val="32"/>
          <w:lang w:eastAsia="zh-CN"/>
        </w:rPr>
        <w:t>乙方按照甲方要求对出租车辆加装信息化监管平台定位系统及车辆租赁管理系统,以保证车辆的安全、正常使用。通过线上系统管理车辆，提取维护及相关数据管理。</w:t>
      </w:r>
    </w:p>
    <w:p w14:paraId="7DD76653">
      <w:pPr>
        <w:kinsoku/>
        <w:spacing w:line="600" w:lineRule="exact"/>
        <w:ind w:firstLine="648" w:firstLineChars="200"/>
        <w:jc w:val="both"/>
        <w:rPr>
          <w:rFonts w:hint="eastAsia" w:ascii="仿宋_GB2312" w:hAnsi="仿宋_GB2312" w:eastAsia="仿宋_GB2312" w:cs="仿宋_GB2312"/>
          <w:color w:val="auto"/>
          <w:spacing w:val="2"/>
          <w:sz w:val="32"/>
          <w:szCs w:val="32"/>
          <w:lang w:eastAsia="zh-CN"/>
        </w:rPr>
      </w:pPr>
      <w:r>
        <w:rPr>
          <w:rFonts w:hint="eastAsia" w:ascii="仿宋_GB2312" w:hAnsi="仿宋_GB2312" w:eastAsia="仿宋_GB2312" w:cs="仿宋_GB2312"/>
          <w:spacing w:val="2"/>
          <w:sz w:val="32"/>
          <w:szCs w:val="32"/>
          <w:lang w:eastAsia="zh-CN"/>
        </w:rPr>
        <w:t>8.乙方承诺向甲方提供性能良好、证件齐全有效的车辆。如租赁车辆存在质量性能问题，甲方有权要求更换。因车辆质量原因所造成的损害由乙方承担相应法律责任。</w:t>
      </w:r>
      <w:r>
        <w:rPr>
          <w:rFonts w:hint="eastAsia" w:ascii="仿宋_GB2312" w:hAnsi="仿宋_GB2312" w:eastAsia="仿宋_GB2312" w:cs="仿宋_GB2312"/>
          <w:color w:val="auto"/>
          <w:spacing w:val="2"/>
          <w:sz w:val="32"/>
          <w:szCs w:val="32"/>
          <w:lang w:eastAsia="zh-CN"/>
        </w:rPr>
        <w:t>交通事故中，由第三方责任造成的车辆、人员损失及伤害，由乙方负责按照交管部门责任划分向第三方追偿，甲方及车辆使用方负责配合追偿。</w:t>
      </w:r>
    </w:p>
    <w:p w14:paraId="12906A82">
      <w:pPr>
        <w:kinsoku/>
        <w:spacing w:line="600" w:lineRule="exact"/>
        <w:ind w:firstLine="648" w:firstLineChars="200"/>
        <w:jc w:val="both"/>
        <w:rPr>
          <w:rFonts w:hint="eastAsia" w:ascii="仿宋_GB2312" w:hAnsi="仿宋_GB2312" w:eastAsia="仿宋_GB2312" w:cs="仿宋_GB2312"/>
          <w:color w:val="auto"/>
          <w:spacing w:val="2"/>
          <w:sz w:val="32"/>
          <w:szCs w:val="32"/>
          <w:lang w:eastAsia="zh-CN"/>
        </w:rPr>
      </w:pPr>
      <w:r>
        <w:rPr>
          <w:rFonts w:hint="eastAsia" w:ascii="仿宋_GB2312" w:hAnsi="仿宋_GB2312" w:eastAsia="仿宋_GB2312" w:cs="仿宋_GB2312"/>
          <w:spacing w:val="2"/>
          <w:sz w:val="32"/>
          <w:szCs w:val="32"/>
          <w:lang w:eastAsia="zh-CN"/>
        </w:rPr>
        <w:t>9.</w:t>
      </w:r>
      <w:r>
        <w:rPr>
          <w:rFonts w:hint="eastAsia" w:ascii="仿宋_GB2312" w:hAnsi="仿宋_GB2312" w:eastAsia="仿宋_GB2312" w:cs="仿宋_GB2312"/>
          <w:color w:val="auto"/>
          <w:spacing w:val="2"/>
          <w:sz w:val="32"/>
          <w:szCs w:val="32"/>
          <w:lang w:eastAsia="zh-CN"/>
        </w:rPr>
        <w:t xml:space="preserve">车辆发生故障或交通事故时，乙方服务人员应能在1小时内响应并着手处理。 </w:t>
      </w:r>
    </w:p>
    <w:p w14:paraId="4F564CB9">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10.乙方不得将本合同及本项目项下的权利义务转让给第三方。</w:t>
      </w:r>
    </w:p>
    <w:p w14:paraId="5F31CF92">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11.</w:t>
      </w:r>
      <w:r>
        <w:rPr>
          <w:rFonts w:hint="eastAsia" w:ascii="仿宋_GB2312" w:hAnsi="仿宋_GB2312" w:eastAsia="仿宋_GB2312" w:cs="仿宋_GB2312"/>
          <w:color w:val="auto"/>
          <w:spacing w:val="2"/>
          <w:sz w:val="32"/>
          <w:szCs w:val="32"/>
          <w:lang w:eastAsia="zh-CN"/>
        </w:rPr>
        <w:t>在车辆质保期内，由于质量原因车辆无法使用或车辆因维修超过5日以上，乙方应及时与车辆经销商沟通提供同型号备用车辆。</w:t>
      </w:r>
    </w:p>
    <w:p w14:paraId="18B54694">
      <w:pPr>
        <w:widowControl w:val="0"/>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12.</w:t>
      </w:r>
      <w:r>
        <w:rPr>
          <w:rFonts w:hint="eastAsia" w:ascii="仿宋_GB2312" w:hAnsi="仿宋_GB2312" w:eastAsia="仿宋_GB2312" w:cs="仿宋_GB2312"/>
          <w:color w:val="auto"/>
          <w:spacing w:val="2"/>
          <w:sz w:val="32"/>
          <w:szCs w:val="32"/>
          <w:lang w:eastAsia="zh-CN"/>
        </w:rPr>
        <w:t>在车辆质保期限内，如果车辆实际行驶公里数不足50%(出厂标注数)时，极端天气除外，乙方有义务联系经销商更换电池</w:t>
      </w:r>
      <w:r>
        <w:rPr>
          <w:rFonts w:hint="eastAsia" w:ascii="仿宋_GB2312" w:hAnsi="仿宋_GB2312" w:eastAsia="仿宋_GB2312" w:cs="仿宋_GB2312"/>
          <w:spacing w:val="2"/>
          <w:sz w:val="32"/>
          <w:szCs w:val="32"/>
          <w:lang w:eastAsia="zh-CN"/>
        </w:rPr>
        <w:t>；</w:t>
      </w:r>
    </w:p>
    <w:p w14:paraId="42BA114E">
      <w:pPr>
        <w:spacing w:line="600" w:lineRule="exact"/>
        <w:ind w:firstLine="596" w:firstLineChars="200"/>
        <w:outlineLvl w:val="0"/>
        <w:rPr>
          <w:rFonts w:hint="eastAsia" w:ascii="黑体" w:hAnsi="黑体" w:eastAsia="黑体" w:cs="黑体"/>
          <w:spacing w:val="-11"/>
          <w:sz w:val="32"/>
          <w:szCs w:val="32"/>
          <w:lang w:eastAsia="zh-CN"/>
        </w:rPr>
      </w:pPr>
      <w:r>
        <w:rPr>
          <w:rFonts w:hint="eastAsia" w:ascii="黑体" w:hAnsi="黑体" w:eastAsia="黑体" w:cs="黑体"/>
          <w:spacing w:val="-11"/>
          <w:sz w:val="32"/>
          <w:szCs w:val="32"/>
          <w:lang w:eastAsia="zh-CN"/>
        </w:rPr>
        <w:t>八、违约责任</w:t>
      </w:r>
    </w:p>
    <w:p w14:paraId="777B09FB">
      <w:pPr>
        <w:kinsoku/>
        <w:spacing w:line="600" w:lineRule="exact"/>
        <w:ind w:firstLine="648" w:firstLineChars="200"/>
        <w:jc w:val="both"/>
        <w:rPr>
          <w:rFonts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1.甲方若未按资金支付方式及安排约定完成履约支付，超过10个工作日，应当承担违约责任，违约责任以应付且未付金额为基数，按照日万分之三的标准计算。</w:t>
      </w:r>
    </w:p>
    <w:p w14:paraId="284404DC">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2.如果甲方在合同有效期届满或未履约支付的情况下，乙方有权在期满后要求甲方归还车辆，如未及时归还，则应当按照原费用标准向乙方支付使用费(但无法正常上路行驶的故障车辆除外),直至车辆交还日止。</w:t>
      </w:r>
    </w:p>
    <w:p w14:paraId="71561856">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3.如果乙方未按合同约定日期提供租赁车辆或者证件不全、检验合格证明和保险过期，无法正常使用，</w:t>
      </w:r>
      <w:r>
        <w:rPr>
          <w:rFonts w:hint="eastAsia" w:ascii="仿宋_GB2312" w:hAnsi="仿宋_GB2312" w:eastAsia="仿宋_GB2312" w:cs="仿宋_GB2312"/>
          <w:color w:val="auto"/>
          <w:spacing w:val="2"/>
          <w:sz w:val="32"/>
          <w:szCs w:val="32"/>
          <w:lang w:eastAsia="zh-CN"/>
        </w:rPr>
        <w:t>经书面通知乙方违约事实及拟扣租金金额并经乙方核实确认后，甲方有权在租金中直接扣除相应租金</w:t>
      </w:r>
      <w:r>
        <w:rPr>
          <w:rFonts w:hint="eastAsia" w:ascii="仿宋_GB2312" w:hAnsi="仿宋_GB2312" w:eastAsia="仿宋_GB2312" w:cs="仿宋_GB2312"/>
          <w:spacing w:val="2"/>
          <w:sz w:val="32"/>
          <w:szCs w:val="32"/>
          <w:lang w:eastAsia="zh-CN"/>
        </w:rPr>
        <w:t>。</w:t>
      </w:r>
    </w:p>
    <w:p w14:paraId="4053F686">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4.在本合同终止或期限届满后，若乙方发现租赁车辆有尚未处理完毕的交通违法行为的，甲方应当在接到乙方通知后15日内处理完毕。如甲方未按约定处理违章，乙方有权进行违章强制处理，由此产生的处理违章的费用、车辆无法年审导致的租金损失、车辆发生事故导致的保险免赔损失等由甲方承担。</w:t>
      </w:r>
    </w:p>
    <w:p w14:paraId="2F47E67A">
      <w:pPr>
        <w:spacing w:line="600" w:lineRule="exact"/>
        <w:ind w:firstLine="596" w:firstLineChars="200"/>
        <w:outlineLvl w:val="0"/>
        <w:rPr>
          <w:rFonts w:hint="eastAsia" w:ascii="黑体" w:hAnsi="黑体" w:eastAsia="黑体" w:cs="黑体"/>
          <w:spacing w:val="-11"/>
          <w:sz w:val="32"/>
          <w:szCs w:val="32"/>
          <w:lang w:eastAsia="zh-CN"/>
        </w:rPr>
      </w:pPr>
      <w:r>
        <w:rPr>
          <w:rFonts w:hint="eastAsia" w:ascii="黑体" w:hAnsi="黑体" w:eastAsia="黑体" w:cs="黑体"/>
          <w:spacing w:val="-11"/>
          <w:sz w:val="32"/>
          <w:szCs w:val="32"/>
          <w:lang w:eastAsia="zh-CN"/>
        </w:rPr>
        <w:t>九、保密条款</w:t>
      </w:r>
    </w:p>
    <w:p w14:paraId="6F270D97">
      <w:pPr>
        <w:widowControl w:val="0"/>
        <w:spacing w:line="600" w:lineRule="exact"/>
        <w:ind w:firstLine="648" w:firstLineChars="200"/>
        <w:outlineLvl w:val="0"/>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各方应对招标公告、投标文件及本合同中的商业和技术等秘密保密，否则应承担相应的法律责任。</w:t>
      </w:r>
    </w:p>
    <w:p w14:paraId="2A4ABA87">
      <w:pPr>
        <w:kinsoku/>
        <w:spacing w:line="600" w:lineRule="exact"/>
        <w:ind w:firstLine="584" w:firstLineChars="200"/>
        <w:outlineLvl w:val="0"/>
        <w:rPr>
          <w:rFonts w:hint="eastAsia" w:ascii="黑体" w:hAnsi="黑体" w:eastAsia="黑体" w:cs="黑体"/>
          <w:sz w:val="32"/>
          <w:szCs w:val="32"/>
          <w:lang w:eastAsia="zh-CN"/>
        </w:rPr>
      </w:pPr>
      <w:r>
        <w:rPr>
          <w:rFonts w:hint="eastAsia" w:ascii="黑体" w:hAnsi="黑体" w:eastAsia="黑体" w:cs="黑体"/>
          <w:spacing w:val="-14"/>
          <w:sz w:val="32"/>
          <w:szCs w:val="32"/>
          <w:lang w:eastAsia="zh-CN"/>
        </w:rPr>
        <w:t>十、其它补充条款</w:t>
      </w:r>
    </w:p>
    <w:p w14:paraId="17D3998F">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1.</w:t>
      </w:r>
      <w:r>
        <w:rPr>
          <w:rFonts w:hint="eastAsia" w:ascii="仿宋_GB2312" w:hAnsi="仿宋_GB2312" w:eastAsia="仿宋_GB2312" w:cs="仿宋_GB2312"/>
          <w:color w:val="auto"/>
          <w:spacing w:val="2"/>
          <w:sz w:val="32"/>
          <w:szCs w:val="32"/>
          <w:lang w:eastAsia="zh-CN"/>
        </w:rPr>
        <w:t>甲方使用车辆期间的下列费用，包括但不限于车辆维修费、保养费、充电费、过路费、停车费、洗车费、保险费、年审费等，甲方向乙方据实结算。</w:t>
      </w:r>
      <w:r>
        <w:rPr>
          <w:rFonts w:hint="eastAsia" w:ascii="仿宋_GB2312" w:hAnsi="仿宋_GB2312" w:eastAsia="仿宋_GB2312" w:cs="仿宋_GB2312"/>
          <w:spacing w:val="2"/>
          <w:sz w:val="32"/>
          <w:szCs w:val="32"/>
          <w:lang w:eastAsia="zh-CN"/>
        </w:rPr>
        <w:t>但如因甲方和车辆使用方工作人员故意、酒驾、严重超速等非正常、合法行为导致的事故而产生的维修费用(以交警部门责任认定书为准),由责任方承担。甲方在使用车辆期间应当按照国家及地方公务用车管理规定执行，乙方有权进行监督并提出建议和意见。</w:t>
      </w:r>
    </w:p>
    <w:p w14:paraId="4B06B2A8">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2.如果甲方在使用车辆期间发生可能涉及车辆质量问题的事故而需要对车辆质量进行鉴定的，则由双方共同委托具有资质的鉴定机构进行鉴定，鉴定费用由乙方先行垫付，按照鉴定结果划分责任，则鉴定费按责任划分来承担。</w:t>
      </w:r>
    </w:p>
    <w:p w14:paraId="60B6E75D">
      <w:pPr>
        <w:kinsoku/>
        <w:spacing w:line="600" w:lineRule="exact"/>
        <w:ind w:firstLine="648" w:firstLineChars="200"/>
        <w:jc w:val="both"/>
        <w:rPr>
          <w:rFonts w:hint="eastAsia" w:ascii="仿宋_GB2312" w:hAnsi="仿宋_GB2312" w:eastAsia="仿宋_GB2312" w:cs="仿宋_GB2312"/>
          <w:color w:val="auto"/>
          <w:spacing w:val="2"/>
          <w:sz w:val="32"/>
          <w:szCs w:val="32"/>
          <w:lang w:eastAsia="zh-CN"/>
        </w:rPr>
      </w:pPr>
      <w:r>
        <w:rPr>
          <w:rFonts w:hint="eastAsia" w:ascii="仿宋_GB2312" w:hAnsi="仿宋_GB2312" w:eastAsia="仿宋_GB2312" w:cs="仿宋_GB2312"/>
          <w:spacing w:val="2"/>
          <w:sz w:val="32"/>
          <w:szCs w:val="32"/>
          <w:lang w:eastAsia="zh-CN"/>
        </w:rPr>
        <w:t>3.乙方应于</w:t>
      </w:r>
      <w:r>
        <w:rPr>
          <w:rFonts w:hint="eastAsia" w:ascii="仿宋_GB2312" w:hAnsi="仿宋_GB2312" w:eastAsia="仿宋_GB2312" w:cs="仿宋_GB2312"/>
          <w:spacing w:val="2"/>
          <w:sz w:val="32"/>
          <w:szCs w:val="32"/>
          <w:u w:val="single"/>
          <w:lang w:eastAsia="zh-CN"/>
        </w:rPr>
        <w:t xml:space="preserve">      </w:t>
      </w:r>
      <w:r>
        <w:rPr>
          <w:rFonts w:hint="eastAsia" w:ascii="仿宋_GB2312" w:hAnsi="仿宋_GB2312" w:eastAsia="仿宋_GB2312" w:cs="仿宋_GB2312"/>
          <w:spacing w:val="2"/>
          <w:sz w:val="32"/>
          <w:szCs w:val="32"/>
          <w:lang w:eastAsia="zh-CN"/>
        </w:rPr>
        <w:t>年</w:t>
      </w:r>
      <w:r>
        <w:rPr>
          <w:rFonts w:hint="eastAsia" w:ascii="仿宋_GB2312" w:hAnsi="仿宋_GB2312" w:eastAsia="仿宋_GB2312" w:cs="仿宋_GB2312"/>
          <w:spacing w:val="2"/>
          <w:sz w:val="32"/>
          <w:szCs w:val="32"/>
          <w:u w:val="single"/>
          <w:lang w:eastAsia="zh-CN"/>
        </w:rPr>
        <w:t xml:space="preserve">     </w:t>
      </w:r>
      <w:r>
        <w:rPr>
          <w:rFonts w:hint="eastAsia" w:ascii="仿宋_GB2312" w:hAnsi="仿宋_GB2312" w:eastAsia="仿宋_GB2312" w:cs="仿宋_GB2312"/>
          <w:spacing w:val="2"/>
          <w:sz w:val="32"/>
          <w:szCs w:val="32"/>
          <w:lang w:eastAsia="zh-CN"/>
        </w:rPr>
        <w:t>月</w:t>
      </w:r>
      <w:r>
        <w:rPr>
          <w:rFonts w:hint="eastAsia" w:ascii="仿宋_GB2312" w:hAnsi="仿宋_GB2312" w:eastAsia="仿宋_GB2312" w:cs="仿宋_GB2312"/>
          <w:spacing w:val="2"/>
          <w:sz w:val="32"/>
          <w:szCs w:val="32"/>
          <w:u w:val="single"/>
          <w:lang w:eastAsia="zh-CN"/>
        </w:rPr>
        <w:t xml:space="preserve">     </w:t>
      </w:r>
      <w:r>
        <w:rPr>
          <w:rFonts w:hint="eastAsia" w:ascii="仿宋_GB2312" w:hAnsi="仿宋_GB2312" w:eastAsia="仿宋_GB2312" w:cs="仿宋_GB2312"/>
          <w:spacing w:val="2"/>
          <w:sz w:val="32"/>
          <w:szCs w:val="32"/>
          <w:lang w:eastAsia="zh-CN"/>
        </w:rPr>
        <w:t>日前</w:t>
      </w:r>
      <w:r>
        <w:rPr>
          <w:rFonts w:hint="eastAsia" w:ascii="仿宋_GB2312" w:hAnsi="仿宋_GB2312" w:eastAsia="仿宋_GB2312" w:cs="仿宋_GB2312"/>
          <w:color w:val="auto"/>
          <w:spacing w:val="2"/>
          <w:sz w:val="32"/>
          <w:szCs w:val="32"/>
          <w:lang w:eastAsia="zh-CN"/>
        </w:rPr>
        <w:t>在陕西省西安市内设置维修费服务点，及时为甲方解决用车过程中的合理相关问题。</w:t>
      </w:r>
    </w:p>
    <w:p w14:paraId="1E221686">
      <w:pPr>
        <w:widowControl w:val="0"/>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4.乙方按照约定为车辆投保非营运性质保险，双方确认保险险种包括交强险、车损险、</w:t>
      </w:r>
      <w:r>
        <w:rPr>
          <w:rFonts w:hint="eastAsia" w:ascii="仿宋_GB2312" w:hAnsi="仿宋_GB2312" w:eastAsia="仿宋_GB2312" w:cs="仿宋_GB2312"/>
          <w:color w:val="auto"/>
          <w:spacing w:val="2"/>
          <w:sz w:val="32"/>
          <w:szCs w:val="32"/>
          <w:lang w:eastAsia="zh-CN"/>
        </w:rPr>
        <w:t>第三者责任险(保额300万)、车上人员驾意险(全车50万)、医保外用药险、外部电网故障损失险，</w:t>
      </w:r>
      <w:r>
        <w:rPr>
          <w:rFonts w:hint="eastAsia" w:ascii="仿宋_GB2312" w:hAnsi="仿宋_GB2312" w:eastAsia="仿宋_GB2312" w:cs="仿宋_GB2312"/>
          <w:spacing w:val="2"/>
          <w:sz w:val="32"/>
          <w:szCs w:val="32"/>
          <w:lang w:eastAsia="zh-CN"/>
        </w:rPr>
        <w:t>不计免赔等。除上述保险项目之外，如甲方认为需要给租赁车辆额外增加保险的，应向乙方书面提出并由甲方承担增加的保费。乙方不晚于收到甲方书面通知及支付的保费后次月(自然月)内购买对应的车辆保险。如双方车辆租赁关系提前终止，乙方无需向甲方补偿与保费相关的任何费用。</w:t>
      </w:r>
    </w:p>
    <w:p w14:paraId="668562EB">
      <w:pPr>
        <w:kinsoku/>
        <w:spacing w:line="600" w:lineRule="exact"/>
        <w:ind w:firstLine="648" w:firstLineChars="200"/>
        <w:jc w:val="both"/>
        <w:rPr>
          <w:rFonts w:hint="eastAsia" w:ascii="仿宋_GB2312" w:hAnsi="仿宋_GB2312" w:eastAsia="仿宋_GB2312" w:cs="仿宋_GB2312"/>
          <w:color w:val="auto"/>
          <w:spacing w:val="2"/>
          <w:sz w:val="32"/>
          <w:szCs w:val="32"/>
          <w:lang w:eastAsia="zh-CN"/>
        </w:rPr>
      </w:pPr>
      <w:r>
        <w:rPr>
          <w:rFonts w:hint="eastAsia" w:ascii="仿宋_GB2312" w:hAnsi="仿宋_GB2312" w:eastAsia="仿宋_GB2312" w:cs="仿宋_GB2312"/>
          <w:color w:val="auto"/>
          <w:spacing w:val="2"/>
          <w:sz w:val="32"/>
          <w:szCs w:val="32"/>
          <w:lang w:eastAsia="zh-CN"/>
        </w:rPr>
        <w:t>5.租赁车辆在租赁期间发生损耗件更换，在保险赔付以内的由保险公司进行赔付，日常使用的损耗件更换由甲方承担。</w:t>
      </w:r>
    </w:p>
    <w:p w14:paraId="72C1EF8B">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color w:val="auto"/>
          <w:spacing w:val="2"/>
          <w:sz w:val="32"/>
          <w:szCs w:val="32"/>
          <w:lang w:eastAsia="zh-CN"/>
        </w:rPr>
        <w:t>6.租赁车辆发生盗抢意外时，提供公安部门出具的报案证明等材料的，从公安部门出具材料记录的车辆被盗抢之日起停收车辆被盗抢期间的租金。租赁车辆发生盗</w:t>
      </w:r>
      <w:r>
        <w:rPr>
          <w:rFonts w:hint="eastAsia" w:ascii="仿宋_GB2312" w:hAnsi="仿宋_GB2312" w:eastAsia="仿宋_GB2312" w:cs="仿宋_GB2312"/>
          <w:spacing w:val="2"/>
          <w:sz w:val="32"/>
          <w:szCs w:val="32"/>
          <w:lang w:eastAsia="zh-CN"/>
        </w:rPr>
        <w:t>抢意外的，如无相应保险弥补乙方租赁车辆实际损失的，租赁车辆的实际损失(租赁车辆实际价值)由双方协商解决。（甲方可委托乙方代为购买其它保险项)</w:t>
      </w:r>
    </w:p>
    <w:p w14:paraId="0FAE9EBA">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7.租赁车辆交付甲方后因违章产生的罚款和罚分，由甲方督促驾驶人员在车辆年审或理赔前处理完毕。</w:t>
      </w:r>
    </w:p>
    <w:p w14:paraId="2DAACB83">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8.甲方收到乙方车辆年检通知后，甲方应在车辆年检到期前10天在乙方指定的合法检测机构办理年检，并将车辆年检后的行驶证副本照片给到乙方。</w:t>
      </w:r>
    </w:p>
    <w:p w14:paraId="293F5230">
      <w:pPr>
        <w:kinsoku/>
        <w:spacing w:line="600" w:lineRule="exact"/>
        <w:ind w:firstLine="648" w:firstLineChars="200"/>
        <w:jc w:val="both"/>
        <w:rPr>
          <w:rFonts w:hint="eastAsia" w:ascii="仿宋_GB2312" w:hAnsi="仿宋_GB2312" w:eastAsia="仿宋_GB2312" w:cs="仿宋_GB2312"/>
          <w:color w:val="FF0000"/>
          <w:spacing w:val="2"/>
          <w:sz w:val="32"/>
          <w:szCs w:val="32"/>
          <w:lang w:eastAsia="zh-CN"/>
        </w:rPr>
      </w:pPr>
      <w:r>
        <w:rPr>
          <w:rFonts w:hint="eastAsia" w:ascii="仿宋_GB2312" w:hAnsi="仿宋_GB2312" w:eastAsia="仿宋_GB2312" w:cs="仿宋_GB2312"/>
          <w:spacing w:val="2"/>
          <w:sz w:val="32"/>
          <w:szCs w:val="32"/>
          <w:lang w:eastAsia="zh-CN"/>
        </w:rPr>
        <w:t>9.车辆发生保险事故并出险的，</w:t>
      </w:r>
      <w:r>
        <w:rPr>
          <w:rFonts w:hint="eastAsia" w:ascii="仿宋_GB2312" w:hAnsi="仿宋_GB2312" w:eastAsia="仿宋_GB2312" w:cs="仿宋_GB2312"/>
          <w:color w:val="auto"/>
          <w:spacing w:val="2"/>
          <w:sz w:val="32"/>
          <w:szCs w:val="32"/>
          <w:lang w:eastAsia="zh-CN"/>
        </w:rPr>
        <w:t>甲方应当按照当年保费的8%的标准向乙方支付保险上浮赔偿费用。</w:t>
      </w:r>
    </w:p>
    <w:p w14:paraId="71F2F267">
      <w:pPr>
        <w:kinsoku/>
        <w:spacing w:line="600" w:lineRule="exact"/>
        <w:ind w:firstLine="648" w:firstLineChars="200"/>
        <w:jc w:val="both"/>
        <w:rPr>
          <w:rFonts w:hint="eastAsia" w:ascii="仿宋_GB2312" w:hAnsi="仿宋_GB2312" w:eastAsia="仿宋_GB2312" w:cs="仿宋_GB2312"/>
          <w:color w:val="auto"/>
          <w:spacing w:val="2"/>
          <w:sz w:val="32"/>
          <w:szCs w:val="32"/>
          <w:lang w:eastAsia="zh-CN"/>
        </w:rPr>
      </w:pPr>
      <w:r>
        <w:rPr>
          <w:rFonts w:hint="eastAsia" w:ascii="仿宋_GB2312" w:hAnsi="仿宋_GB2312" w:eastAsia="仿宋_GB2312" w:cs="仿宋_GB2312"/>
          <w:spacing w:val="2"/>
          <w:sz w:val="32"/>
          <w:szCs w:val="32"/>
          <w:lang w:eastAsia="zh-CN"/>
        </w:rPr>
        <w:t>10.租赁车辆在交付甲方后，</w:t>
      </w:r>
      <w:r>
        <w:rPr>
          <w:rFonts w:hint="eastAsia" w:ascii="仿宋_GB2312" w:hAnsi="仿宋_GB2312" w:eastAsia="仿宋_GB2312" w:cs="仿宋_GB2312"/>
          <w:color w:val="auto"/>
          <w:spacing w:val="2"/>
          <w:sz w:val="32"/>
          <w:szCs w:val="32"/>
          <w:lang w:eastAsia="zh-CN"/>
        </w:rPr>
        <w:t>因交通事故引发的保险公司不予赔偿或超过保险公司给予赔偿额度的损失费用，由事故责任方承担。</w:t>
      </w:r>
    </w:p>
    <w:p w14:paraId="64DC8088">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11.合作方式：乙方采购车辆后向甲方出租，甲方将租赁车辆按程序审核通过后，交由临潼区各级党政机关使用，各级党政机关负责审核驾驶人员及租赁车辆行驶中的安全。驾驶期间出现问题，用车单位及驾驶人员为责任人，承担相关责任，甲方负责协调督促用车单位承担相关责任。</w:t>
      </w:r>
    </w:p>
    <w:p w14:paraId="1B7A5B7D">
      <w:pPr>
        <w:kinsoku/>
        <w:spacing w:line="600" w:lineRule="exact"/>
        <w:ind w:firstLine="560" w:firstLineChars="200"/>
        <w:outlineLvl w:val="0"/>
        <w:rPr>
          <w:rFonts w:hint="eastAsia" w:ascii="黑体" w:hAnsi="黑体" w:eastAsia="黑体" w:cs="黑体"/>
          <w:sz w:val="32"/>
          <w:szCs w:val="32"/>
          <w:lang w:eastAsia="zh-CN"/>
        </w:rPr>
      </w:pPr>
      <w:r>
        <w:rPr>
          <w:rFonts w:hint="eastAsia" w:ascii="黑体" w:hAnsi="黑体" w:eastAsia="黑体" w:cs="黑体"/>
          <w:spacing w:val="-20"/>
          <w:sz w:val="32"/>
          <w:szCs w:val="32"/>
          <w:lang w:eastAsia="zh-CN"/>
        </w:rPr>
        <w:t>十一、不可抗力</w:t>
      </w:r>
    </w:p>
    <w:p w14:paraId="65F9C9D2">
      <w:pPr>
        <w:kinsoku/>
        <w:spacing w:line="600" w:lineRule="exact"/>
        <w:ind w:firstLine="648" w:firstLineChars="200"/>
        <w:jc w:val="both"/>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任何一方由于不可抗力原因不能履行合同时，应在不可抗力事件结束后15日内以书面形式通知对方，以减轻可能给对方造成的损失，在取得有关机构的不可抗力证明或双方谅解确认后，允许延期履行或修订合同，并根据情况可部分或全部免于承担违约责任。</w:t>
      </w:r>
    </w:p>
    <w:p w14:paraId="1A784846">
      <w:pPr>
        <w:kinsoku/>
        <w:spacing w:line="600" w:lineRule="exact"/>
        <w:ind w:firstLine="588" w:firstLineChars="200"/>
        <w:jc w:val="both"/>
        <w:rPr>
          <w:rFonts w:hint="eastAsia" w:ascii="黑体" w:hAnsi="黑体" w:eastAsia="黑体" w:cs="黑体"/>
          <w:sz w:val="32"/>
          <w:szCs w:val="32"/>
          <w:lang w:eastAsia="zh-CN"/>
        </w:rPr>
      </w:pPr>
      <w:r>
        <w:rPr>
          <w:rFonts w:hint="eastAsia" w:ascii="黑体" w:hAnsi="黑体" w:eastAsia="黑体" w:cs="黑体"/>
          <w:spacing w:val="-13"/>
          <w:sz w:val="32"/>
          <w:szCs w:val="32"/>
          <w:lang w:eastAsia="zh-CN"/>
        </w:rPr>
        <w:t>十二</w:t>
      </w:r>
      <w:r>
        <w:rPr>
          <w:rFonts w:hint="eastAsia" w:ascii="黑体" w:hAnsi="黑体" w:eastAsia="黑体" w:cs="黑体"/>
          <w:spacing w:val="-59"/>
          <w:sz w:val="32"/>
          <w:szCs w:val="32"/>
          <w:lang w:eastAsia="zh-CN"/>
        </w:rPr>
        <w:t xml:space="preserve"> </w:t>
      </w:r>
      <w:r>
        <w:rPr>
          <w:rFonts w:hint="eastAsia" w:ascii="黑体" w:hAnsi="黑体" w:eastAsia="黑体" w:cs="黑体"/>
          <w:spacing w:val="-13"/>
          <w:sz w:val="32"/>
          <w:szCs w:val="32"/>
          <w:lang w:eastAsia="zh-CN"/>
        </w:rPr>
        <w:t>、解决争议的方法</w:t>
      </w:r>
    </w:p>
    <w:p w14:paraId="050FD465">
      <w:pPr>
        <w:kinsoku/>
        <w:spacing w:line="600" w:lineRule="exact"/>
        <w:ind w:firstLine="648" w:firstLineChars="200"/>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一切由执行本合同引起的或与本合同有关的争执，各方应通过友好协商解决，如协商不能解决应提交甲方所在地有管辖权的人民法院诉讼解决。</w:t>
      </w:r>
    </w:p>
    <w:p w14:paraId="64562DCD">
      <w:pPr>
        <w:kinsoku/>
        <w:spacing w:line="600" w:lineRule="exact"/>
        <w:ind w:firstLine="588" w:firstLineChars="200"/>
        <w:outlineLvl w:val="0"/>
        <w:rPr>
          <w:rFonts w:hint="eastAsia" w:ascii="黑体" w:hAnsi="黑体" w:eastAsia="黑体" w:cs="黑体"/>
          <w:spacing w:val="-13"/>
          <w:sz w:val="32"/>
          <w:szCs w:val="32"/>
          <w:lang w:eastAsia="zh-CN"/>
        </w:rPr>
      </w:pPr>
      <w:r>
        <w:rPr>
          <w:rFonts w:hint="eastAsia" w:ascii="黑体" w:hAnsi="黑体" w:eastAsia="黑体" w:cs="黑体"/>
          <w:spacing w:val="-13"/>
          <w:sz w:val="32"/>
          <w:szCs w:val="32"/>
          <w:lang w:eastAsia="zh-CN"/>
        </w:rPr>
        <w:t>十三、合同生效与终止</w:t>
      </w:r>
    </w:p>
    <w:p w14:paraId="235974A7">
      <w:pPr>
        <w:kinsoku/>
        <w:spacing w:line="600" w:lineRule="exact"/>
        <w:ind w:firstLine="648" w:firstLineChars="200"/>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 xml:space="preserve">1.本合同经甲、乙双方授权代表签字和加盖公章(或合同专用章)后生效。 </w:t>
      </w:r>
    </w:p>
    <w:p w14:paraId="76EAAF87">
      <w:pPr>
        <w:kinsoku/>
        <w:spacing w:line="600" w:lineRule="exact"/>
        <w:ind w:firstLine="648" w:firstLineChars="200"/>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2.各方履行完各自权利和义务后合同自行终止。</w:t>
      </w:r>
    </w:p>
    <w:p w14:paraId="38FECF45">
      <w:pPr>
        <w:kinsoku/>
        <w:spacing w:line="600" w:lineRule="exact"/>
        <w:ind w:firstLine="648" w:firstLineChars="200"/>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3.甲乙任何一方不得擅自解除本合同，否则应当按照本合同金额的20%向守约方支付违约金。</w:t>
      </w:r>
    </w:p>
    <w:p w14:paraId="4CDE70DF">
      <w:pPr>
        <w:kinsoku/>
        <w:spacing w:line="620" w:lineRule="exact"/>
        <w:ind w:firstLine="560" w:firstLineChars="200"/>
        <w:outlineLvl w:val="0"/>
        <w:rPr>
          <w:rFonts w:hint="eastAsia" w:ascii="黑体" w:hAnsi="黑体" w:eastAsia="黑体" w:cs="黑体"/>
          <w:spacing w:val="-20"/>
          <w:sz w:val="32"/>
          <w:szCs w:val="32"/>
          <w:lang w:eastAsia="zh-CN"/>
        </w:rPr>
      </w:pPr>
      <w:r>
        <w:rPr>
          <w:rFonts w:hint="eastAsia" w:ascii="黑体" w:hAnsi="黑体" w:eastAsia="黑体" w:cs="黑体"/>
          <w:spacing w:val="-20"/>
          <w:sz w:val="32"/>
          <w:szCs w:val="32"/>
          <w:lang w:eastAsia="zh-CN"/>
        </w:rPr>
        <w:t>十四、其它</w:t>
      </w:r>
    </w:p>
    <w:p w14:paraId="1583B851">
      <w:pPr>
        <w:kinsoku/>
        <w:spacing w:line="620" w:lineRule="exact"/>
        <w:ind w:firstLine="648" w:firstLineChars="200"/>
        <w:outlineLvl w:val="0"/>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本合同一式</w:t>
      </w:r>
      <w:r>
        <w:rPr>
          <w:rFonts w:hint="eastAsia" w:ascii="仿宋_GB2312" w:hAnsi="仿宋_GB2312" w:eastAsia="仿宋_GB2312" w:cs="仿宋_GB2312"/>
          <w:spacing w:val="2"/>
          <w:sz w:val="32"/>
          <w:szCs w:val="32"/>
          <w:u w:val="single"/>
          <w:lang w:eastAsia="zh-CN"/>
        </w:rPr>
        <w:t xml:space="preserve"> 肆 </w:t>
      </w:r>
      <w:r>
        <w:rPr>
          <w:rFonts w:hint="eastAsia" w:ascii="仿宋_GB2312" w:hAnsi="仿宋_GB2312" w:eastAsia="仿宋_GB2312" w:cs="仿宋_GB2312"/>
          <w:spacing w:val="2"/>
          <w:sz w:val="32"/>
          <w:szCs w:val="32"/>
          <w:lang w:eastAsia="zh-CN"/>
        </w:rPr>
        <w:t>份，甲乙方各执</w:t>
      </w:r>
      <w:r>
        <w:rPr>
          <w:rFonts w:hint="eastAsia" w:ascii="仿宋_GB2312" w:hAnsi="仿宋_GB2312" w:eastAsia="仿宋_GB2312" w:cs="仿宋_GB2312"/>
          <w:spacing w:val="2"/>
          <w:sz w:val="32"/>
          <w:szCs w:val="32"/>
          <w:u w:val="single"/>
          <w:lang w:eastAsia="zh-CN"/>
        </w:rPr>
        <w:t xml:space="preserve">  贰 </w:t>
      </w:r>
      <w:r>
        <w:rPr>
          <w:rFonts w:hint="eastAsia" w:ascii="仿宋_GB2312" w:hAnsi="仿宋_GB2312" w:eastAsia="仿宋_GB2312" w:cs="仿宋_GB2312"/>
          <w:spacing w:val="2"/>
          <w:sz w:val="32"/>
          <w:szCs w:val="32"/>
          <w:lang w:eastAsia="zh-CN"/>
        </w:rPr>
        <w:t>份。</w:t>
      </w:r>
    </w:p>
    <w:p w14:paraId="7BD736DF">
      <w:pPr>
        <w:spacing w:line="600" w:lineRule="exact"/>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甲 方 ：                         乙 方 ：</w:t>
      </w:r>
    </w:p>
    <w:p w14:paraId="2C116030">
      <w:pPr>
        <w:spacing w:line="600" w:lineRule="exact"/>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单位名称(盖章):                  单位名称(盖章):</w:t>
      </w:r>
    </w:p>
    <w:p w14:paraId="3D488B98">
      <w:pPr>
        <w:spacing w:line="600" w:lineRule="exact"/>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单位地址 ：                      单位地址 ：</w:t>
      </w:r>
    </w:p>
    <w:p w14:paraId="19B766DF">
      <w:pPr>
        <w:spacing w:line="600" w:lineRule="exact"/>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 xml:space="preserve">法人代表授权人(签字):            法人代表授权人(签字):                    </w:t>
      </w:r>
    </w:p>
    <w:p w14:paraId="24AF50EB">
      <w:pPr>
        <w:spacing w:line="600" w:lineRule="exact"/>
        <w:rPr>
          <w:rFonts w:hint="eastAsia"/>
        </w:rPr>
      </w:pPr>
      <w:r>
        <w:rPr>
          <w:rFonts w:hint="eastAsia" w:ascii="仿宋_GB2312" w:hAnsi="仿宋_GB2312" w:eastAsia="仿宋_GB2312" w:cs="仿宋_GB2312"/>
          <w:spacing w:val="2"/>
          <w:sz w:val="32"/>
          <w:szCs w:val="32"/>
        </w:rPr>
        <w:t xml:space="preserve">电 话 ：                   </w:t>
      </w:r>
      <w:r>
        <w:rPr>
          <w:rFonts w:hint="eastAsia" w:ascii="仿宋_GB2312" w:hAnsi="仿宋_GB2312" w:eastAsia="仿宋_GB2312" w:cs="仿宋_GB2312"/>
          <w:spacing w:val="2"/>
          <w:sz w:val="32"/>
          <w:szCs w:val="32"/>
          <w:lang w:eastAsia="zh-CN"/>
        </w:rPr>
        <w:t xml:space="preserve">  </w:t>
      </w:r>
      <w:r>
        <w:rPr>
          <w:rFonts w:hint="eastAsia" w:ascii="仿宋_GB2312" w:hAnsi="仿宋_GB2312" w:eastAsia="仿宋_GB2312" w:cs="仿宋_GB2312"/>
          <w:spacing w:val="2"/>
          <w:sz w:val="32"/>
          <w:szCs w:val="32"/>
        </w:rPr>
        <w:t xml:space="preserve">    电 话 ：</w:t>
      </w:r>
    </w:p>
    <w:p w14:paraId="70F5A558"/>
    <w:sectPr>
      <w:footerReference r:id="rId3" w:type="default"/>
      <w:pgSz w:w="11900" w:h="16820"/>
      <w:pgMar w:top="2098" w:right="1474" w:bottom="1984" w:left="1587" w:header="0" w:footer="1134" w:gutter="0"/>
      <w:cols w:space="720" w:num="1"/>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rial Unicode MS">
    <w:altName w:val="宋体"/>
    <w:panose1 w:val="020B0604020202020204"/>
    <w:charset w:val="86"/>
    <w:family w:val="swiss"/>
    <w:pitch w:val="default"/>
    <w:sig w:usb0="FFFFFFFF" w:usb1="E9FFFFFF" w:usb2="0000003F" w:usb3="00000000" w:csb0="603F01FF" w:csb1="FFFF0000"/>
  </w:font>
  <w:font w:name="仿宋_GB2312">
    <w:altName w:val="仿宋"/>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2AE50">
    <w:pPr>
      <w:spacing w:line="175" w:lineRule="auto"/>
      <w:ind w:left="5089"/>
      <w:rPr>
        <w:rFonts w:ascii="Times New Roman" w:hAnsi="Times New Roman" w:eastAsia="Times New Roman" w:cs="Times New Roman"/>
        <w:sz w:val="16"/>
        <w:szCs w:val="16"/>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CC40CB"/>
    <w:multiLevelType w:val="multilevel"/>
    <w:tmpl w:val="56CC40CB"/>
    <w:lvl w:ilvl="0" w:tentative="0">
      <w:start w:val="1"/>
      <w:numFmt w:val="chineseCounting"/>
      <w:suff w:val="nothing"/>
      <w:lvlText w:val="%1、"/>
      <w:lvlJc w:val="left"/>
      <w:pPr>
        <w:ind w:left="0" w:firstLine="0"/>
      </w:pPr>
      <w:rPr>
        <w:rFonts w:hint="eastAsia"/>
      </w:rPr>
    </w:lvl>
    <w:lvl w:ilvl="1" w:tentative="0">
      <w:start w:val="1"/>
      <w:numFmt w:val="chineseCounting"/>
      <w:pStyle w:val="2"/>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7B8CC1A1"/>
    <w:multiLevelType w:val="singleLevel"/>
    <w:tmpl w:val="7B8CC1A1"/>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0D6"/>
    <w:rsid w:val="00170340"/>
    <w:rsid w:val="0024004B"/>
    <w:rsid w:val="002A5898"/>
    <w:rsid w:val="00356DBA"/>
    <w:rsid w:val="0039262B"/>
    <w:rsid w:val="006C6D66"/>
    <w:rsid w:val="0074562A"/>
    <w:rsid w:val="00B723C9"/>
    <w:rsid w:val="00CC10D6"/>
    <w:rsid w:val="00CC67CA"/>
    <w:rsid w:val="00D542A6"/>
    <w:rsid w:val="00D90A21"/>
    <w:rsid w:val="00DA1B29"/>
    <w:rsid w:val="00ED3922"/>
    <w:rsid w:val="00F05477"/>
    <w:rsid w:val="00F6733F"/>
    <w:rsid w:val="00FA22BE"/>
    <w:rsid w:val="01763BCE"/>
    <w:rsid w:val="03B86720"/>
    <w:rsid w:val="03FA45EE"/>
    <w:rsid w:val="05CB2AE4"/>
    <w:rsid w:val="07EA4350"/>
    <w:rsid w:val="085A2569"/>
    <w:rsid w:val="0D057142"/>
    <w:rsid w:val="0E502C4B"/>
    <w:rsid w:val="0E5D3605"/>
    <w:rsid w:val="0EC95C85"/>
    <w:rsid w:val="11951E4E"/>
    <w:rsid w:val="11D16BFE"/>
    <w:rsid w:val="12F73104"/>
    <w:rsid w:val="13FC61B5"/>
    <w:rsid w:val="160A2679"/>
    <w:rsid w:val="164125A5"/>
    <w:rsid w:val="186B3909"/>
    <w:rsid w:val="1D7019C1"/>
    <w:rsid w:val="22A05281"/>
    <w:rsid w:val="23F94CAB"/>
    <w:rsid w:val="27147E6C"/>
    <w:rsid w:val="297741B6"/>
    <w:rsid w:val="299742DC"/>
    <w:rsid w:val="29B2084C"/>
    <w:rsid w:val="2D9708A4"/>
    <w:rsid w:val="2FC41C2F"/>
    <w:rsid w:val="30E36586"/>
    <w:rsid w:val="31DA55AD"/>
    <w:rsid w:val="32852D31"/>
    <w:rsid w:val="329B79BE"/>
    <w:rsid w:val="330C2BF8"/>
    <w:rsid w:val="331A6DEC"/>
    <w:rsid w:val="34AE4E51"/>
    <w:rsid w:val="35926521"/>
    <w:rsid w:val="359F2000"/>
    <w:rsid w:val="37C70778"/>
    <w:rsid w:val="3A976388"/>
    <w:rsid w:val="3EDF5CE6"/>
    <w:rsid w:val="3FCB7DD6"/>
    <w:rsid w:val="415E375B"/>
    <w:rsid w:val="42190D7C"/>
    <w:rsid w:val="428E0767"/>
    <w:rsid w:val="45303661"/>
    <w:rsid w:val="46371A7E"/>
    <w:rsid w:val="48A71E8C"/>
    <w:rsid w:val="4A9B157C"/>
    <w:rsid w:val="4AE91DA6"/>
    <w:rsid w:val="4B7A467B"/>
    <w:rsid w:val="4D7A59D9"/>
    <w:rsid w:val="4DDA153B"/>
    <w:rsid w:val="4EF37BD9"/>
    <w:rsid w:val="539D0113"/>
    <w:rsid w:val="547B088B"/>
    <w:rsid w:val="5EF03E67"/>
    <w:rsid w:val="61C15914"/>
    <w:rsid w:val="679F5E55"/>
    <w:rsid w:val="67B0662B"/>
    <w:rsid w:val="68570D81"/>
    <w:rsid w:val="6C504EB9"/>
    <w:rsid w:val="6DD95003"/>
    <w:rsid w:val="717146BB"/>
    <w:rsid w:val="717F6C52"/>
    <w:rsid w:val="72D74F98"/>
    <w:rsid w:val="75581C94"/>
    <w:rsid w:val="7A1F0FD2"/>
    <w:rsid w:val="7A4D3D91"/>
    <w:rsid w:val="7B05466C"/>
    <w:rsid w:val="7C2823C0"/>
    <w:rsid w:val="7ED700CE"/>
    <w:rsid w:val="7F6F77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numPr>
        <w:ilvl w:val="1"/>
        <w:numId w:val="1"/>
      </w:numPr>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uiPriority w:val="0"/>
  </w:style>
  <w:style w:type="table" w:default="1" w:styleId="6">
    <w:name w:val="Normal Table"/>
    <w:semiHidden/>
    <w:qFormat/>
    <w:uiPriority w:val="0"/>
    <w:tblPr>
      <w:tblStyle w:val="6"/>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link w:val="9"/>
    <w:uiPriority w:val="0"/>
    <w:pPr>
      <w:tabs>
        <w:tab w:val="center" w:pos="4153"/>
        <w:tab w:val="right" w:pos="8306"/>
      </w:tabs>
    </w:pPr>
    <w:rPr>
      <w:sz w:val="18"/>
      <w:szCs w:val="18"/>
    </w:rPr>
  </w:style>
  <w:style w:type="paragraph" w:styleId="5">
    <w:name w:val="header"/>
    <w:basedOn w:val="1"/>
    <w:link w:val="10"/>
    <w:uiPriority w:val="0"/>
    <w:pPr>
      <w:pBdr>
        <w:bottom w:val="single" w:color="auto" w:sz="6" w:space="1"/>
      </w:pBdr>
      <w:tabs>
        <w:tab w:val="center" w:pos="4153"/>
        <w:tab w:val="right" w:pos="8306"/>
      </w:tabs>
      <w:jc w:val="center"/>
    </w:pPr>
    <w:rPr>
      <w:sz w:val="18"/>
      <w:szCs w:val="18"/>
    </w:rPr>
  </w:style>
  <w:style w:type="table" w:styleId="7">
    <w:name w:val="Table Grid"/>
    <w:basedOn w:val="6"/>
    <w:uiPriority w:val="0"/>
    <w:pPr>
      <w:widowControl w:val="0"/>
      <w:jc w:val="both"/>
    </w:pPr>
    <w:tblPr>
      <w:tblStyle w:val="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脚 Char"/>
    <w:basedOn w:val="8"/>
    <w:link w:val="4"/>
    <w:uiPriority w:val="0"/>
    <w:rPr>
      <w:rFonts w:ascii="Arial" w:hAnsi="Arial" w:eastAsia="Arial" w:cs="Arial"/>
      <w:snapToGrid w:val="0"/>
      <w:color w:val="000000"/>
      <w:sz w:val="18"/>
      <w:szCs w:val="18"/>
      <w:lang w:eastAsia="en-US"/>
    </w:rPr>
  </w:style>
  <w:style w:type="character" w:customStyle="1" w:styleId="10">
    <w:name w:val="页眉 Char"/>
    <w:basedOn w:val="8"/>
    <w:link w:val="5"/>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4558</Words>
  <Characters>4772</Characters>
  <Lines>38</Lines>
  <Paragraphs>10</Paragraphs>
  <TotalTime>8</TotalTime>
  <ScaleCrop>false</ScaleCrop>
  <LinksUpToDate>false</LinksUpToDate>
  <CharactersWithSpaces>5120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2024-12-12T08:29:00Z</dcterms:created>
  <dc:creator>Administrator</dc:creator>
  <cp:lastModifiedBy>冰吸椰椰</cp:lastModifiedBy>
  <cp:lastPrinted>2025-05-23T01:59:00Z</cp:lastPrinted>
  <dcterms:modified xsi:type="dcterms:W3CDTF">2025-07-15T02:40:43Z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B79E1CD8EF5B46888E495E2B4D66EC46_13</vt:lpwstr>
  </property>
  <property fmtid="{D5CDD505-2E9C-101B-9397-08002B2CF9AE}" pid="4" name="KSOTemplateDocerSaveRecord">
    <vt:lpwstr>eyJoZGlkIjoiNWVhZTg5ZGU2YTMxZTk4NjE4ZWY0MDYyNTQ3ZTVlNDEiLCJ1c2VySWQiOiIxMTc4MTAxNzI5In0=</vt:lpwstr>
  </property>
</Properties>
</file>