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版本号：HYZB2025003120250710001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2025年西泉街道环境整治提升镇项目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HYZB20250031</w:t>
      </w:r>
      <w:r>
        <w:br/>
      </w:r>
      <w:r>
        <w:br/>
      </w:r>
      <w:r>
        <w:br/>
      </w:r>
    </w:p>
    <w:p>
      <w:pPr>
        <w:pStyle w:val="null3"/>
        <w:jc w:val="center"/>
        <w:outlineLvl w:val="2"/>
      </w:pPr>
      <w:r>
        <w:rPr>
          <w:rFonts w:ascii="仿宋_GB2312" w:hAnsi="仿宋_GB2312" w:cs="仿宋_GB2312" w:eastAsia="仿宋_GB2312"/>
          <w:sz w:val="28"/>
          <w:b/>
        </w:rPr>
        <w:t>临潼区西泉街道办事处</w:t>
      </w:r>
    </w:p>
    <w:p>
      <w:pPr>
        <w:pStyle w:val="null3"/>
        <w:jc w:val="center"/>
        <w:outlineLvl w:val="2"/>
      </w:pPr>
      <w:r>
        <w:rPr>
          <w:rFonts w:ascii="仿宋_GB2312" w:hAnsi="仿宋_GB2312" w:cs="仿宋_GB2312" w:eastAsia="仿宋_GB2312"/>
          <w:sz w:val="28"/>
          <w:b/>
        </w:rPr>
        <w:t>陕西华洋项目管理有限公司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陕西华洋项目管理有限公司</w:t>
      </w:r>
      <w:r>
        <w:rPr>
          <w:rFonts w:ascii="仿宋_GB2312" w:hAnsi="仿宋_GB2312" w:cs="仿宋_GB2312" w:eastAsia="仿宋_GB2312"/>
        </w:rPr>
        <w:t>（以下简称“代理机构”）受</w:t>
      </w:r>
      <w:r>
        <w:rPr>
          <w:rFonts w:ascii="仿宋_GB2312" w:hAnsi="仿宋_GB2312" w:cs="仿宋_GB2312" w:eastAsia="仿宋_GB2312"/>
        </w:rPr>
        <w:t>临潼区西泉街道办事处</w:t>
      </w:r>
      <w:r>
        <w:rPr>
          <w:rFonts w:ascii="仿宋_GB2312" w:hAnsi="仿宋_GB2312" w:cs="仿宋_GB2312" w:eastAsia="仿宋_GB2312"/>
        </w:rPr>
        <w:t>委托，拟对</w:t>
      </w:r>
      <w:r>
        <w:rPr>
          <w:rFonts w:ascii="仿宋_GB2312" w:hAnsi="仿宋_GB2312" w:cs="仿宋_GB2312" w:eastAsia="仿宋_GB2312"/>
        </w:rPr>
        <w:t>2025年西泉街道环境整治提升镇项目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HYZB20250031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2025年西泉街道环境整治提升镇项目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西泉街道环境综合整治提升工程，路灯安装工程，人行道提升。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采购包1（2025年西泉街道环境整治提升镇项目）：属于专门面向中小企业采购。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营业执照、税务登记证、组织机构代码证（多证合一只提供营业执照，事业单位提供事业单位法人证书，自然人提供本人身份证）合法有效；</w:t>
      </w:r>
    </w:p>
    <w:p>
      <w:pPr>
        <w:pStyle w:val="null3"/>
      </w:pPr>
      <w:r>
        <w:rPr>
          <w:rFonts w:ascii="仿宋_GB2312" w:hAnsi="仿宋_GB2312" w:cs="仿宋_GB2312" w:eastAsia="仿宋_GB2312"/>
        </w:rPr>
        <w:t>2、法人授权：提供法定代表人授权委托书及委托代理人有效身份证原件，法定代表人直接参加开标会议，需提供法定代表人身份证明及其有效的身份证原件；</w:t>
      </w:r>
    </w:p>
    <w:p>
      <w:pPr>
        <w:pStyle w:val="null3"/>
      </w:pPr>
      <w:r>
        <w:rPr>
          <w:rFonts w:ascii="仿宋_GB2312" w:hAnsi="仿宋_GB2312" w:cs="仿宋_GB2312" w:eastAsia="仿宋_GB2312"/>
        </w:rPr>
        <w:t>3、财务报表：提供2024年度的财务报表或具有财务审计资质的单位出具的财务报告（至少包括资产负债表和利润表，成立时间至提交响应文件截止时间不足一年的可提供成立后任意时段的资产负债表），或银行出具的资信证明；</w:t>
      </w:r>
    </w:p>
    <w:p>
      <w:pPr>
        <w:pStyle w:val="null3"/>
      </w:pPr>
      <w:r>
        <w:rPr>
          <w:rFonts w:ascii="仿宋_GB2312" w:hAnsi="仿宋_GB2312" w:cs="仿宋_GB2312" w:eastAsia="仿宋_GB2312"/>
        </w:rPr>
        <w:t>4、税收缴纳证明：提供投标截止时间前一年内至少一个月的纳税证明或完税证明；依法免税的单位应提供相关证明材料；</w:t>
      </w:r>
    </w:p>
    <w:p>
      <w:pPr>
        <w:pStyle w:val="null3"/>
      </w:pPr>
      <w:r>
        <w:rPr>
          <w:rFonts w:ascii="仿宋_GB2312" w:hAnsi="仿宋_GB2312" w:cs="仿宋_GB2312" w:eastAsia="仿宋_GB2312"/>
        </w:rPr>
        <w:t>5、社会保障资金缴纳证：提供投标截止时间前一年内至少一个月的社会保障资金缴存凭证或社保机构开具的社会保险参保缴费情况证明，依法不需要缴纳社会保障资金的单位应提供相关证明材料；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6、无重大违法记录声明：参加政府采购活动前3年内在经营活动中没有重大违法记录的书面声明；</w:t>
      </w:r>
    </w:p>
    <w:p>
      <w:pPr>
        <w:pStyle w:val="null3"/>
      </w:pPr>
      <w:r>
        <w:rPr>
          <w:rFonts w:ascii="仿宋_GB2312" w:hAnsi="仿宋_GB2312" w:cs="仿宋_GB2312" w:eastAsia="仿宋_GB2312"/>
        </w:rPr>
        <w:t>7、供应商资质：须具备建设行政主管部门颁发的市政公用工程施工总承包二级及以上资质；具有有效的安全生产许可证；</w:t>
      </w:r>
    </w:p>
    <w:p>
      <w:pPr>
        <w:pStyle w:val="null3"/>
      </w:pPr>
      <w:r>
        <w:rPr>
          <w:rFonts w:ascii="仿宋_GB2312" w:hAnsi="仿宋_GB2312" w:cs="仿宋_GB2312" w:eastAsia="仿宋_GB2312"/>
        </w:rPr>
        <w:t>8、项目经理：拟派项目经理须具备市政公用工程专业二级及以上注册建造师资格，具备有效的安全生产考核合格证（B证）；且无在建项目（提供无在建项目承诺书）</w:t>
      </w:r>
    </w:p>
    <w:p>
      <w:pPr>
        <w:pStyle w:val="null3"/>
      </w:pPr>
      <w:r>
        <w:rPr>
          <w:rFonts w:ascii="仿宋_GB2312" w:hAnsi="仿宋_GB2312" w:cs="仿宋_GB2312" w:eastAsia="仿宋_GB2312"/>
        </w:rPr>
        <w:t>9、信用中国：供应商未被列入“中国执行信息公开网”失信被执行人名单（http://zxgk.court.gov.cn/shixin/），未被列入“信用中国”网站（www.creditchina.gov.cn）重大税收违法失信主体，未被列入“中国政府采购网”（www.ccgp.gov.cn）政府采购严重违法失信行为记录名单；</w:t>
      </w:r>
    </w:p>
    <w:p>
      <w:pPr>
        <w:pStyle w:val="null3"/>
      </w:pPr>
      <w:r>
        <w:rPr>
          <w:rFonts w:ascii="仿宋_GB2312" w:hAnsi="仿宋_GB2312" w:cs="仿宋_GB2312" w:eastAsia="仿宋_GB2312"/>
        </w:rPr>
        <w:t>10、控股关系：单位负责人为同一人或者存在控股、管理关系的不同单位不得同时投标；</w:t>
      </w:r>
    </w:p>
    <w:p>
      <w:pPr>
        <w:pStyle w:val="null3"/>
      </w:pPr>
      <w:r>
        <w:rPr>
          <w:rFonts w:ascii="仿宋_GB2312" w:hAnsi="仿宋_GB2312" w:cs="仿宋_GB2312" w:eastAsia="仿宋_GB2312"/>
        </w:rPr>
        <w:t>11、非联合体投标：本项目不接受联合体磋商。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临潼区西泉街道办事处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陕西省西安市临潼区西泉街道西泉村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临潼区西泉街道办事处经办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029-83958024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陕西省西安市临潼区文化西路37号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029-83875110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采购包1：3,782,878.39元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2002年颁发的《招标代理服务收费管理暂行办法》(计价格〔2002〕1980号)及国家发改委2011年颁布的《国家发展改革委关于降低部分建设项目收费标准规范收费行为等有关问题的通知》（发改价格[2011]534号向招标代理机构一次支付采购代理服务费； 2、工程量清单及招标控制价编制费:以对外发布的招标控制价金额作为计费收取基数，由招标代理机构按陕价行发【2014】88号取费标准收取工程量清单及招标控制价编制费。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临潼区西泉街道办事处</w:t>
      </w:r>
      <w:r>
        <w:rPr>
          <w:rFonts w:ascii="仿宋_GB2312" w:hAnsi="仿宋_GB2312" w:cs="仿宋_GB2312" w:eastAsia="仿宋_GB2312"/>
        </w:rPr>
        <w:t>和</w:t>
      </w:r>
      <w:r>
        <w:rPr>
          <w:rFonts w:ascii="仿宋_GB2312" w:hAnsi="仿宋_GB2312" w:cs="仿宋_GB2312" w:eastAsia="仿宋_GB2312"/>
        </w:rPr>
        <w:t>陕西华洋项目管理有限公司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临潼区西泉街道办事处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临潼区西泉街道办事处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符合国家及行业合格标准，达到本工程“合格”的质量要求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联系人：唐工</w:t>
      </w:r>
    </w:p>
    <w:p>
      <w:pPr>
        <w:pStyle w:val="null3"/>
      </w:pPr>
      <w:r>
        <w:rPr>
          <w:rFonts w:ascii="仿宋_GB2312" w:hAnsi="仿宋_GB2312" w:cs="仿宋_GB2312" w:eastAsia="仿宋_GB2312"/>
        </w:rPr>
        <w:t>联系电话：029-83875110</w:t>
      </w:r>
    </w:p>
    <w:p>
      <w:pPr>
        <w:pStyle w:val="null3"/>
      </w:pPr>
      <w:r>
        <w:rPr>
          <w:rFonts w:ascii="仿宋_GB2312" w:hAnsi="仿宋_GB2312" w:cs="仿宋_GB2312" w:eastAsia="仿宋_GB2312"/>
        </w:rPr>
        <w:t>地址：陕西省西安市临潼区文化西路37号</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3,782,878.39</w:t>
      </w:r>
    </w:p>
    <w:p>
      <w:pPr>
        <w:pStyle w:val="null3"/>
      </w:pPr>
      <w:r>
        <w:rPr>
          <w:rFonts w:ascii="仿宋_GB2312" w:hAnsi="仿宋_GB2312" w:cs="仿宋_GB2312" w:eastAsia="仿宋_GB2312"/>
        </w:rPr>
        <w:t>采购包最高限价（元）: 3,782,878.39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2025年西泉街道环境整治提升镇项目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3,782,878.39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标的名称：2025年西泉街道环境整治提升镇项目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一、工程质量要求与验收依据</w:t>
            </w:r>
          </w:p>
          <w:p>
            <w:pPr>
              <w:pStyle w:val="null3"/>
            </w:pPr>
            <w:r>
              <w:rPr>
                <w:rFonts w:ascii="仿宋_GB2312" w:hAnsi="仿宋_GB2312" w:cs="仿宋_GB2312" w:eastAsia="仿宋_GB2312"/>
              </w:rPr>
              <w:t>（1）质量要求：中标人必须严格按照有关施工和验收规范进行施工，保证达到本工程“合格”的质量标准，通过有关部门验收。</w:t>
            </w:r>
          </w:p>
          <w:p>
            <w:pPr>
              <w:pStyle w:val="null3"/>
            </w:pPr>
            <w:r>
              <w:rPr>
                <w:rFonts w:ascii="仿宋_GB2312" w:hAnsi="仿宋_GB2312" w:cs="仿宋_GB2312" w:eastAsia="仿宋_GB2312"/>
              </w:rPr>
              <w:t>（2）验收方法：验收应按建筑工程适用的规范或标准及其他相关的规范和标准执行。</w:t>
            </w:r>
          </w:p>
          <w:p>
            <w:pPr>
              <w:pStyle w:val="null3"/>
            </w:pPr>
            <w:r>
              <w:rPr>
                <w:rFonts w:ascii="仿宋_GB2312" w:hAnsi="仿宋_GB2312" w:cs="仿宋_GB2312" w:eastAsia="仿宋_GB2312"/>
              </w:rPr>
              <w:t>（3）依据设计文件要求：本招标工程项目的材料、设备、施工必须达到现行中华人民共和国及省、市、行业的一切有关工程建设标准、法规、规范的要求。</w:t>
            </w:r>
          </w:p>
          <w:p>
            <w:pPr>
              <w:pStyle w:val="null3"/>
            </w:pPr>
            <w:r>
              <w:rPr>
                <w:rFonts w:ascii="仿宋_GB2312" w:hAnsi="仿宋_GB2312" w:cs="仿宋_GB2312" w:eastAsia="仿宋_GB2312"/>
              </w:rPr>
              <w:t>（4）以最新标准为准。</w:t>
            </w:r>
          </w:p>
          <w:p>
            <w:pPr>
              <w:pStyle w:val="null3"/>
            </w:pPr>
            <w:r>
              <w:rPr>
                <w:rFonts w:ascii="仿宋_GB2312" w:hAnsi="仿宋_GB2312" w:cs="仿宋_GB2312" w:eastAsia="仿宋_GB2312"/>
              </w:rPr>
              <w:t>二、根据工程设计要求，该项工程项目的材料、施工除必须达到以上标准外，还应满足设计要求和采购人在招标文件中的有关要求。</w:t>
            </w:r>
          </w:p>
          <w:p>
            <w:pPr>
              <w:pStyle w:val="null3"/>
            </w:pPr>
            <w:r>
              <w:rPr>
                <w:rFonts w:ascii="仿宋_GB2312" w:hAnsi="仿宋_GB2312" w:cs="仿宋_GB2312" w:eastAsia="仿宋_GB2312"/>
              </w:rPr>
              <w:t>三、本工程所有主要材料必须符合设计要求及国家有关规定，有出厂合格证，经质检部门检验合格。</w:t>
            </w:r>
          </w:p>
          <w:p>
            <w:pPr>
              <w:pStyle w:val="null3"/>
            </w:pPr>
            <w:r>
              <w:rPr>
                <w:rFonts w:ascii="仿宋_GB2312" w:hAnsi="仿宋_GB2312" w:cs="仿宋_GB2312" w:eastAsia="仿宋_GB2312"/>
              </w:rPr>
              <w:t>四、未尽的工程质量技术要求均按现行国家、省、市有关规范和标准执行。</w:t>
            </w:r>
          </w:p>
          <w:p>
            <w:pPr>
              <w:pStyle w:val="null3"/>
            </w:pPr>
            <w:r>
              <w:rPr>
                <w:rFonts w:ascii="仿宋_GB2312" w:hAnsi="仿宋_GB2312" w:cs="仿宋_GB2312" w:eastAsia="仿宋_GB2312"/>
              </w:rPr>
              <w:t>五、工程量清单及图纸（另附）。</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为顺利推进政府采购电子化交易平台试点应用工作，供应商需要在线提交所有通过电子化交易平台实施的政府采购项目的投标文件，同时，线下提交投标文件正本壹套、副本贰套、电子版贰套（U盘）。若电子投标文件与纸质投标文件不一致的，以电子投标文件为准。线下递交文件截止时间：在投标截止时间之前密封递交；线下递交文件地点：陕西省西安市临潼区文化西路37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财务报表或具有财务审计资质的单位出具的财务报告（至少包括资产负债表和利润表，成立时间至提交响应文件截止时间不足一年的可提供成立后任意时段的资产负债表），或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具有独立承担民事责任能力的法人、其他组织或自然人，营业执照、税务登记证、组织机构代码证（多证合一只提供营业执照，事业单位提供事业单位法人证书，自然人提供本人身份证）合法有效；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w:t>
            </w:r>
          </w:p>
        </w:tc>
        <w:tc>
          <w:tcPr>
            <w:tcW w:type="dxa" w:w="3322"/>
          </w:tcPr>
          <w:p>
            <w:pPr>
              <w:pStyle w:val="null3"/>
            </w:pPr>
            <w:r>
              <w:rPr>
                <w:rFonts w:ascii="仿宋_GB2312" w:hAnsi="仿宋_GB2312" w:cs="仿宋_GB2312" w:eastAsia="仿宋_GB2312"/>
              </w:rPr>
              <w:t>提供法定代表人授权委托书及委托代理人有效身份证原件，法定代表人直接参加开标会议，需提供法定代表人身份证明及其有效的身份证原件；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财务报表</w:t>
            </w:r>
          </w:p>
        </w:tc>
        <w:tc>
          <w:tcPr>
            <w:tcW w:type="dxa" w:w="3322"/>
          </w:tcPr>
          <w:p>
            <w:pPr>
              <w:pStyle w:val="null3"/>
            </w:pPr>
            <w:r>
              <w:rPr>
                <w:rFonts w:ascii="仿宋_GB2312" w:hAnsi="仿宋_GB2312" w:cs="仿宋_GB2312" w:eastAsia="仿宋_GB2312"/>
              </w:rPr>
              <w:t>提供2024年度的财务报表或具有财务审计资质的单位出具的财务报告（至少包括资产负债表和利润表，成立时间至提交响应文件截止时间不足一年的可提供成立后任意时段的资产负债表），或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w:t>
            </w:r>
          </w:p>
        </w:tc>
        <w:tc>
          <w:tcPr>
            <w:tcW w:type="dxa" w:w="3322"/>
          </w:tcPr>
          <w:p>
            <w:pPr>
              <w:pStyle w:val="null3"/>
            </w:pPr>
            <w:r>
              <w:rPr>
                <w:rFonts w:ascii="仿宋_GB2312" w:hAnsi="仿宋_GB2312" w:cs="仿宋_GB2312" w:eastAsia="仿宋_GB2312"/>
              </w:rPr>
              <w:t>提供投标截止时间前一年内至少一个月的社会保障资金缴存凭证或社保机构开具的社会保险参保缴费情况证明，依法不需要缴纳社会保障资金的单位应提供相关证明材料；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须具备建设行政主管部门颁发的市政公用工程施工总承包二级及以上资质；具有有效的安全生产许可证；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拟派项目经理须具备市政公用工程专业二级及以上注册建造师资格，具备有效的安全生产考核合格证（B证）；且无在建项目（提供无在建项目承诺书）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未被列入“中国执行信息公开网”失信被执行人名单（http://zxgk.court.gov.cn/shixin/），未被列入“信用中国”网站（www.creditchina.gov.cn）重大税收违法失信主体，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单位负责人为同一人或者存在控股、管理关系的不同单位不得同时投标；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w:t>
            </w:r>
          </w:p>
        </w:tc>
        <w:tc>
          <w:tcPr>
            <w:tcW w:type="dxa" w:w="3322"/>
          </w:tcPr>
          <w:p>
            <w:pPr>
              <w:pStyle w:val="null3"/>
            </w:pPr>
            <w:r>
              <w:rPr>
                <w:rFonts w:ascii="仿宋_GB2312" w:hAnsi="仿宋_GB2312" w:cs="仿宋_GB2312" w:eastAsia="仿宋_GB2312"/>
              </w:rPr>
              <w:t>（1）投标文件项目名称、标段编号与磋商文件不一致，按无效文件处理； （2）供应商名称与营业执照、资质证书、安全生产许可证一致；</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响应格式</w:t>
            </w:r>
          </w:p>
        </w:tc>
        <w:tc>
          <w:tcPr>
            <w:tcW w:type="dxa" w:w="3322"/>
          </w:tcPr>
          <w:p>
            <w:pPr>
              <w:pStyle w:val="null3"/>
            </w:pPr>
            <w:r>
              <w:rPr>
                <w:rFonts w:ascii="仿宋_GB2312" w:hAnsi="仿宋_GB2312" w:cs="仿宋_GB2312" w:eastAsia="仿宋_GB2312"/>
              </w:rPr>
              <w:t>符合“磋商文件格式”的要求；</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投标文件无投标人公章、无法定代表人签字或签字人无法定代表人有效授权书的,按无效文件处理；</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（1）磋商报价符合唯一性要求; （2）第一次磋商报价表填写符合要求; （3）报价货币符合磋商文件要求; （4）未超出采购预算或磋商文件规定的最高限价;</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 xml:space="preserve"> 其他</w:t>
            </w:r>
          </w:p>
        </w:tc>
        <w:tc>
          <w:tcPr>
            <w:tcW w:type="dxa" w:w="3322"/>
          </w:tcPr>
          <w:p>
            <w:pPr>
              <w:pStyle w:val="null3"/>
            </w:pPr>
            <w:r>
              <w:rPr>
                <w:rFonts w:ascii="仿宋_GB2312" w:hAnsi="仿宋_GB2312" w:cs="仿宋_GB2312" w:eastAsia="仿宋_GB2312"/>
              </w:rPr>
              <w:t xml:space="preserve"> 完全理解并接受法律法规和磋商文件对供应商的各项须知、规约要求和责任义务，没有出现法律法规磋商文件明确规定的其他被视为“无效响应”的情形。</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响应文件封面 供应商应提交的相关资格证明材料.docx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方案总体思路清晰、合理、可操作性强、可执行程度强，且能很好推动项目实施得6～9（含）分； 方案总体思路基本明确、可行性、合理性高得3～6(含)分； 方案思路模糊、可行性、合理性一般得0～3(含)分；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项目经理部组成及劳动力投入</w:t>
            </w:r>
          </w:p>
        </w:tc>
        <w:tc>
          <w:tcPr>
            <w:tcW w:type="dxa" w:w="2492"/>
          </w:tcPr>
          <w:p>
            <w:pPr>
              <w:pStyle w:val="null3"/>
            </w:pPr>
            <w:r>
              <w:rPr>
                <w:rFonts w:ascii="仿宋_GB2312" w:hAnsi="仿宋_GB2312" w:cs="仿宋_GB2312" w:eastAsia="仿宋_GB2312"/>
              </w:rPr>
              <w:t>人员搭配合理，数量充足，经验丰富，证明材料详尽计4～8（含）分；人员搭配较为合理，数量较充足，经验不足，证明材料不够详尽计0～4（含）分；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措施内容科学可行、有针对性且内容详细计4～8（含）分；措施内容较为可行、针对性不强、内容简单计0～4（含）分；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措施内容科学可行、有针对性且内容详细计4～8（含）分； 措施内容较为可行、针对性不强、内容简单计0～4（含）分；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措施内容科学可行、有针对性且内容详细计4～8（含）分；措施内容较为可行、针对性不强、内容简单计0～4（含）分，本项满分8分；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措施内容科学可行、有针对性且内容详细计4～8（含）分；措施内容较为可行、针对性不强、内容简单计0～4（含）分；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施工机械设备和材料投入计划</w:t>
            </w:r>
          </w:p>
        </w:tc>
        <w:tc>
          <w:tcPr>
            <w:tcW w:type="dxa" w:w="2492"/>
          </w:tcPr>
          <w:p>
            <w:pPr>
              <w:pStyle w:val="null3"/>
            </w:pPr>
            <w:r>
              <w:rPr>
                <w:rFonts w:ascii="仿宋_GB2312" w:hAnsi="仿宋_GB2312" w:cs="仿宋_GB2312" w:eastAsia="仿宋_GB2312"/>
              </w:rPr>
              <w:t>安排合理、完整计4～8（含）分； 机械、设备安排简单计0～4（含）分；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否 进度表或网络图结构清晰、安排科学合理计2～3（含）分； 进度表或网络图结构基本清晰、安排合理计1～2（含）分，未提供不计分;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 xml:space="preserve"> 据供应商为保证工程质量所做的承诺及配套服务（包括但不限于具体的服务内容、响应时间、响应方式、响应计划、服务承诺等）进行综合比较；缺项得0分;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以合同的形式提供供应商自2022年7月01日至今的项目业绩，每提供一份计2分，计满6分为止（业绩证明材料以合同或中标通知书为准）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价格分采用低价优先法计算，即满足招标文件要求且投标价格最低的投标报价为评审基准价，其价格分为满分。其他供应商的价格分统一按照下列公式计算：投标报价得分=（评审基准价/投标报价）×价格权值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详见附件：陕西省建设工程施工合同.docx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