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04A03">
      <w:pPr>
        <w:keepNext w:val="0"/>
        <w:keepLines w:val="0"/>
        <w:pageBreakBefore w:val="0"/>
        <w:widowControl w:val="0"/>
        <w:wordWrap/>
        <w:overflowPunct/>
        <w:topLinePunct w:val="0"/>
        <w:autoSpaceDE/>
        <w:autoSpaceDN/>
        <w:bidi w:val="0"/>
        <w:spacing w:line="360" w:lineRule="auto"/>
        <w:jc w:val="center"/>
        <w:textAlignment w:val="auto"/>
        <w:rPr>
          <w:rFonts w:hint="eastAsia" w:ascii="宋体" w:hAnsi="宋体" w:eastAsia="宋体" w:cs="宋体"/>
          <w:b/>
          <w:sz w:val="44"/>
          <w:szCs w:val="44"/>
        </w:rPr>
      </w:pPr>
      <w:r>
        <w:rPr>
          <w:rFonts w:hint="eastAsia" w:ascii="宋体" w:hAnsi="宋体" w:eastAsia="宋体" w:cs="宋体"/>
          <w:b/>
          <w:sz w:val="44"/>
          <w:szCs w:val="44"/>
        </w:rPr>
        <w:t>供 货 合 同</w:t>
      </w:r>
    </w:p>
    <w:p w14:paraId="37B8CF54">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甲方</w:t>
      </w:r>
      <w:r>
        <w:rPr>
          <w:rFonts w:hint="eastAsia" w:ascii="宋体" w:hAnsi="宋体" w:eastAsia="宋体" w:cs="宋体"/>
          <w:sz w:val="24"/>
          <w:szCs w:val="24"/>
          <w:u w:val="single"/>
          <w:lang w:val="en-US" w:eastAsia="zh-CN"/>
        </w:rPr>
        <w:t xml:space="preserve">                     </w:t>
      </w:r>
    </w:p>
    <w:p w14:paraId="3790D972">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乙方</w:t>
      </w:r>
      <w:r>
        <w:rPr>
          <w:rFonts w:hint="eastAsia" w:ascii="宋体" w:hAnsi="宋体" w:eastAsia="宋体" w:cs="宋体"/>
          <w:sz w:val="24"/>
          <w:szCs w:val="24"/>
          <w:u w:val="single"/>
          <w:lang w:val="en-US" w:eastAsia="zh-CN"/>
        </w:rPr>
        <w:t xml:space="preserve">                     </w:t>
      </w:r>
    </w:p>
    <w:p w14:paraId="60C62A7C">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依据《中华人民共和国民法典》，经甲、乙双方共同协商，达成下列条款，共同遵守：</w:t>
      </w:r>
    </w:p>
    <w:p w14:paraId="3BCA44C9">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一、乙方为甲方提供下列产品：</w:t>
      </w:r>
    </w:p>
    <w:p w14:paraId="50BA437A">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单位：（人民币）万元</w:t>
      </w:r>
    </w:p>
    <w:tbl>
      <w:tblPr>
        <w:tblStyle w:val="6"/>
        <w:tblW w:w="99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908"/>
        <w:gridCol w:w="19"/>
        <w:gridCol w:w="1408"/>
        <w:gridCol w:w="745"/>
        <w:gridCol w:w="801"/>
        <w:gridCol w:w="801"/>
        <w:gridCol w:w="2057"/>
        <w:gridCol w:w="1618"/>
      </w:tblGrid>
      <w:tr w14:paraId="38438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765" w:hRule="atLeast"/>
          <w:jc w:val="center"/>
        </w:trPr>
        <w:tc>
          <w:tcPr>
            <w:tcW w:w="1617" w:type="dxa"/>
            <w:noWrap w:val="0"/>
            <w:vAlign w:val="center"/>
          </w:tcPr>
          <w:p w14:paraId="4A89CB4E">
            <w:pPr>
              <w:keepNext w:val="0"/>
              <w:keepLines w:val="0"/>
              <w:pageBreakBefore w:val="0"/>
              <w:widowControl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名称</w:t>
            </w:r>
          </w:p>
        </w:tc>
        <w:tc>
          <w:tcPr>
            <w:tcW w:w="908" w:type="dxa"/>
            <w:noWrap w:val="0"/>
            <w:vAlign w:val="center"/>
          </w:tcPr>
          <w:p w14:paraId="5C094C2A">
            <w:pPr>
              <w:keepNext w:val="0"/>
              <w:keepLines w:val="0"/>
              <w:pageBreakBefore w:val="0"/>
              <w:widowControl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规格</w:t>
            </w:r>
          </w:p>
        </w:tc>
        <w:tc>
          <w:tcPr>
            <w:tcW w:w="1427" w:type="dxa"/>
            <w:gridSpan w:val="2"/>
            <w:noWrap w:val="0"/>
            <w:vAlign w:val="center"/>
          </w:tcPr>
          <w:p w14:paraId="286A0A08">
            <w:pPr>
              <w:keepNext w:val="0"/>
              <w:keepLines w:val="0"/>
              <w:pageBreakBefore w:val="0"/>
              <w:widowControl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订货号</w:t>
            </w:r>
          </w:p>
        </w:tc>
        <w:tc>
          <w:tcPr>
            <w:tcW w:w="745" w:type="dxa"/>
            <w:noWrap w:val="0"/>
            <w:vAlign w:val="center"/>
          </w:tcPr>
          <w:p w14:paraId="07F1F0C7">
            <w:pPr>
              <w:keepNext w:val="0"/>
              <w:keepLines w:val="0"/>
              <w:pageBreakBefore w:val="0"/>
              <w:widowControl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数量</w:t>
            </w:r>
          </w:p>
        </w:tc>
        <w:tc>
          <w:tcPr>
            <w:tcW w:w="801" w:type="dxa"/>
            <w:noWrap w:val="0"/>
            <w:vAlign w:val="center"/>
          </w:tcPr>
          <w:p w14:paraId="2B9078C7">
            <w:pPr>
              <w:keepNext w:val="0"/>
              <w:keepLines w:val="0"/>
              <w:pageBreakBefore w:val="0"/>
              <w:widowControl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价格</w:t>
            </w:r>
          </w:p>
        </w:tc>
        <w:tc>
          <w:tcPr>
            <w:tcW w:w="801" w:type="dxa"/>
            <w:noWrap w:val="0"/>
            <w:vAlign w:val="center"/>
          </w:tcPr>
          <w:p w14:paraId="1FFE654D">
            <w:pPr>
              <w:keepNext w:val="0"/>
              <w:keepLines w:val="0"/>
              <w:pageBreakBefore w:val="0"/>
              <w:widowControl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小计</w:t>
            </w:r>
          </w:p>
        </w:tc>
        <w:tc>
          <w:tcPr>
            <w:tcW w:w="2057" w:type="dxa"/>
            <w:noWrap w:val="0"/>
            <w:vAlign w:val="center"/>
          </w:tcPr>
          <w:p w14:paraId="6D6B79C9">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产地</w:t>
            </w:r>
          </w:p>
        </w:tc>
        <w:tc>
          <w:tcPr>
            <w:tcW w:w="1618" w:type="dxa"/>
            <w:noWrap w:val="0"/>
            <w:vAlign w:val="center"/>
          </w:tcPr>
          <w:p w14:paraId="0FEC3FDE">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备注</w:t>
            </w:r>
          </w:p>
        </w:tc>
      </w:tr>
      <w:tr w14:paraId="5D268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493" w:hRule="atLeast"/>
          <w:jc w:val="center"/>
        </w:trPr>
        <w:tc>
          <w:tcPr>
            <w:tcW w:w="1617" w:type="dxa"/>
            <w:noWrap w:val="0"/>
            <w:vAlign w:val="center"/>
          </w:tcPr>
          <w:p w14:paraId="244EC361">
            <w:pPr>
              <w:keepNext w:val="0"/>
              <w:keepLines w:val="0"/>
              <w:pageBreakBefore w:val="0"/>
              <w:widowControl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脉动真空</w:t>
            </w:r>
          </w:p>
          <w:p w14:paraId="413CDFBF">
            <w:pPr>
              <w:keepNext w:val="0"/>
              <w:keepLines w:val="0"/>
              <w:pageBreakBefore w:val="0"/>
              <w:widowControl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灭菌器</w:t>
            </w:r>
          </w:p>
        </w:tc>
        <w:tc>
          <w:tcPr>
            <w:tcW w:w="908" w:type="dxa"/>
            <w:noWrap w:val="0"/>
            <w:vAlign w:val="center"/>
          </w:tcPr>
          <w:p w14:paraId="230CC025">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p>
        </w:tc>
        <w:tc>
          <w:tcPr>
            <w:tcW w:w="1427" w:type="dxa"/>
            <w:gridSpan w:val="2"/>
            <w:noWrap w:val="0"/>
            <w:vAlign w:val="center"/>
          </w:tcPr>
          <w:p w14:paraId="5B67C764">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p>
        </w:tc>
        <w:tc>
          <w:tcPr>
            <w:tcW w:w="745" w:type="dxa"/>
            <w:noWrap w:val="0"/>
            <w:vAlign w:val="center"/>
          </w:tcPr>
          <w:p w14:paraId="62CBFF00">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p>
        </w:tc>
        <w:tc>
          <w:tcPr>
            <w:tcW w:w="801" w:type="dxa"/>
            <w:noWrap w:val="0"/>
            <w:vAlign w:val="center"/>
          </w:tcPr>
          <w:p w14:paraId="1DC19AAE">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p>
        </w:tc>
        <w:tc>
          <w:tcPr>
            <w:tcW w:w="801" w:type="dxa"/>
            <w:noWrap w:val="0"/>
            <w:vAlign w:val="center"/>
          </w:tcPr>
          <w:p w14:paraId="7146266C">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p>
        </w:tc>
        <w:tc>
          <w:tcPr>
            <w:tcW w:w="2057" w:type="dxa"/>
            <w:noWrap w:val="0"/>
            <w:vAlign w:val="center"/>
          </w:tcPr>
          <w:p w14:paraId="28E1014C">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p>
        </w:tc>
        <w:tc>
          <w:tcPr>
            <w:tcW w:w="1618" w:type="dxa"/>
            <w:noWrap w:val="0"/>
            <w:vAlign w:val="center"/>
          </w:tcPr>
          <w:p w14:paraId="644AD2FD">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p>
        </w:tc>
      </w:tr>
      <w:tr w14:paraId="129A5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02" w:hRule="atLeast"/>
          <w:jc w:val="center"/>
        </w:trPr>
        <w:tc>
          <w:tcPr>
            <w:tcW w:w="1617" w:type="dxa"/>
            <w:noWrap w:val="0"/>
            <w:vAlign w:val="center"/>
          </w:tcPr>
          <w:p w14:paraId="0BCADAF0">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合  计</w:t>
            </w:r>
          </w:p>
        </w:tc>
        <w:tc>
          <w:tcPr>
            <w:tcW w:w="927" w:type="dxa"/>
            <w:gridSpan w:val="2"/>
            <w:noWrap w:val="0"/>
            <w:vAlign w:val="top"/>
          </w:tcPr>
          <w:p w14:paraId="79D67C66">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p>
        </w:tc>
        <w:tc>
          <w:tcPr>
            <w:tcW w:w="7430" w:type="dxa"/>
            <w:gridSpan w:val="6"/>
            <w:noWrap w:val="0"/>
            <w:vAlign w:val="center"/>
          </w:tcPr>
          <w:p w14:paraId="29EF9339">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 xml:space="preserve">大写：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小写：</w:t>
            </w:r>
            <w:r>
              <w:rPr>
                <w:rFonts w:hint="eastAsia" w:ascii="宋体" w:hAnsi="宋体" w:eastAsia="宋体" w:cs="宋体"/>
                <w:sz w:val="24"/>
                <w:szCs w:val="24"/>
                <w:lang w:val="en-US" w:eastAsia="zh-CN"/>
              </w:rPr>
              <w:t xml:space="preserve"> </w:t>
            </w:r>
          </w:p>
        </w:tc>
      </w:tr>
    </w:tbl>
    <w:p w14:paraId="7D5CE0F6">
      <w:pPr>
        <w:keepNext w:val="0"/>
        <w:keepLines w:val="0"/>
        <w:pageBreakBefore w:val="0"/>
        <w:widowControl w:val="0"/>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 xml:space="preserve">二、款项支付 </w:t>
      </w:r>
    </w:p>
    <w:p w14:paraId="571C3A2C">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1、货到甲方后，由甲乙双方共同验收，验收合格，甲方支付乙方合同金额的90%，即大写：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（人民币）</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；小写</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u w:val="single"/>
          <w:lang w:val="en-US" w:eastAsia="zh-CN"/>
        </w:rPr>
        <w:t xml:space="preserve">            。</w:t>
      </w:r>
    </w:p>
    <w:p w14:paraId="774D5F74">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2、一年期满后，无质量及售后问题，甲方支付乙方10%余款，即大写：（人民币）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lang w:val="en-US" w:eastAsia="zh-CN"/>
        </w:rPr>
        <w:t xml:space="preserve">            。</w:t>
      </w:r>
    </w:p>
    <w:p w14:paraId="2AA7BFCA">
      <w:pPr>
        <w:keepNext w:val="0"/>
        <w:keepLines w:val="0"/>
        <w:pageBreakBefore w:val="0"/>
        <w:widowControl w:val="0"/>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三、交货地点、时间</w:t>
      </w:r>
    </w:p>
    <w:p w14:paraId="6EBE6C6B">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1、交货地点：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rPr>
        <w:t>。</w:t>
      </w:r>
    </w:p>
    <w:p w14:paraId="01E67712">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2、交 货 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rPr>
        <w:t>。</w:t>
      </w:r>
    </w:p>
    <w:p w14:paraId="0E12374E">
      <w:pPr>
        <w:keepNext w:val="0"/>
        <w:keepLines w:val="0"/>
        <w:pageBreakBefore w:val="0"/>
        <w:widowControl w:val="0"/>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四、质量保证</w:t>
      </w:r>
    </w:p>
    <w:p w14:paraId="6845DBE3">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1、质保期为设备验收合格后五年（以甲方签字的设备验收单时间为准），终身维护保养。</w:t>
      </w:r>
    </w:p>
    <w:p w14:paraId="7236BA9E">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2、乙方保证所供设备质量可靠、进货渠道正常，配置合理，满足临床要求。</w:t>
      </w:r>
    </w:p>
    <w:p w14:paraId="7144FD96">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3、设备经过国家法定部门鉴定和注册。</w:t>
      </w:r>
    </w:p>
    <w:p w14:paraId="15478E88">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4、设备性能稳定、具有较好的使用效果，质量保证措施完善，符合国家相关标准。</w:t>
      </w:r>
    </w:p>
    <w:p w14:paraId="0EB69BFC">
      <w:pPr>
        <w:keepNext w:val="0"/>
        <w:keepLines w:val="0"/>
        <w:pageBreakBefore w:val="0"/>
        <w:widowControl w:val="0"/>
        <w:wordWrap/>
        <w:overflowPunct/>
        <w:topLinePunct w:val="0"/>
        <w:autoSpaceDE/>
        <w:autoSpaceDN/>
        <w:bidi w:val="0"/>
        <w:adjustRightInd w:val="0"/>
        <w:snapToGrid w:val="0"/>
        <w:spacing w:line="360" w:lineRule="auto"/>
        <w:ind w:firstLine="482" w:firstLineChars="200"/>
        <w:jc w:val="left"/>
        <w:textAlignment w:val="auto"/>
        <w:outlineLvl w:val="0"/>
        <w:rPr>
          <w:rFonts w:hint="eastAsia" w:ascii="宋体" w:hAnsi="宋体" w:eastAsia="宋体" w:cs="宋体"/>
          <w:b/>
          <w:sz w:val="24"/>
          <w:szCs w:val="24"/>
        </w:rPr>
      </w:pPr>
      <w:r>
        <w:rPr>
          <w:rFonts w:hint="eastAsia" w:ascii="宋体" w:hAnsi="宋体" w:eastAsia="宋体" w:cs="宋体"/>
          <w:b/>
          <w:sz w:val="24"/>
          <w:szCs w:val="24"/>
        </w:rPr>
        <w:t>五、技术服务</w:t>
      </w:r>
    </w:p>
    <w:p w14:paraId="36148BFC">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1、技术资料：a产品合格证；b、产品使用说明书（中文）；c、其它资料。</w:t>
      </w:r>
    </w:p>
    <w:p w14:paraId="371F5291">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2、在质保修内（保修起始日为货到验收合格之日起），乙方在接到用户对所购设备进行维修的要求后，24小时内到用户现场进行维修服务，全部费用由乙方支付。</w:t>
      </w:r>
    </w:p>
    <w:p w14:paraId="386D3CE0">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3、乙方</w:t>
      </w:r>
      <w:r>
        <w:rPr>
          <w:rFonts w:hint="eastAsia" w:ascii="宋体" w:hAnsi="宋体" w:eastAsia="宋体" w:cs="宋体"/>
          <w:sz w:val="24"/>
          <w:szCs w:val="24"/>
          <w:lang w:val="en-US" w:eastAsia="zh-CN"/>
        </w:rPr>
        <w:t>负责旧设备的拆除，并放置在甲方指定位置</w:t>
      </w:r>
      <w:r>
        <w:rPr>
          <w:rFonts w:hint="eastAsia" w:ascii="宋体" w:hAnsi="宋体" w:eastAsia="宋体" w:cs="宋体"/>
          <w:sz w:val="24"/>
          <w:szCs w:val="24"/>
        </w:rPr>
        <w:t>。</w:t>
      </w:r>
    </w:p>
    <w:p w14:paraId="3CCDA88D">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4、乙方协助甲方办理特种设备启用登记事宜。</w:t>
      </w:r>
    </w:p>
    <w:p w14:paraId="582A9160">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5、乙方免费为用户进行使用、维修和保养等方面培训，直至甲方使用人员能熟练地独立工作。</w:t>
      </w:r>
    </w:p>
    <w:p w14:paraId="26C638C1">
      <w:pPr>
        <w:pStyle w:val="2"/>
        <w:rPr>
          <w:rFonts w:hint="default" w:eastAsia="宋体"/>
          <w:lang w:val="en-US" w:eastAsia="zh-CN"/>
        </w:rPr>
      </w:pPr>
      <w:r>
        <w:rPr>
          <w:rFonts w:hint="eastAsia" w:eastAsia="宋体"/>
          <w:lang w:val="en-US" w:eastAsia="zh-CN"/>
        </w:rPr>
        <w:t>6、</w:t>
      </w:r>
    </w:p>
    <w:p w14:paraId="6CC38A46">
      <w:pPr>
        <w:keepNext w:val="0"/>
        <w:keepLines w:val="0"/>
        <w:pageBreakBefore w:val="0"/>
        <w:widowControl w:val="0"/>
        <w:wordWrap/>
        <w:overflowPunct/>
        <w:topLinePunct w:val="0"/>
        <w:autoSpaceDE/>
        <w:autoSpaceDN/>
        <w:bidi w:val="0"/>
        <w:adjustRightInd w:val="0"/>
        <w:snapToGrid w:val="0"/>
        <w:spacing w:line="360" w:lineRule="auto"/>
        <w:ind w:firstLine="482" w:firstLineChars="200"/>
        <w:jc w:val="left"/>
        <w:textAlignment w:val="auto"/>
        <w:outlineLvl w:val="0"/>
        <w:rPr>
          <w:rFonts w:hint="eastAsia" w:ascii="宋体" w:hAnsi="宋体" w:eastAsia="宋体" w:cs="宋体"/>
          <w:b/>
          <w:sz w:val="24"/>
          <w:szCs w:val="24"/>
        </w:rPr>
      </w:pPr>
      <w:r>
        <w:rPr>
          <w:rFonts w:hint="eastAsia" w:ascii="宋体" w:hAnsi="宋体" w:eastAsia="宋体" w:cs="宋体"/>
          <w:b/>
          <w:sz w:val="24"/>
          <w:szCs w:val="24"/>
        </w:rPr>
        <w:t>六、安装调试及验收</w:t>
      </w:r>
    </w:p>
    <w:p w14:paraId="7B7444AE">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设备到达甲方目的地后，安装场地已具备安装条件时3个工作日内，厂方派专业工程师到达现场，与甲方相关人员当面开箱清点货物。乙方做进场必要的墙面及净化板拆除及恢复的工作，并组织安装调试，。甲方组织验收，确认设备的产地、规格、型号、数量及设备功能指标。由双方按相关标准进行验收。</w:t>
      </w:r>
    </w:p>
    <w:p w14:paraId="57EDF1BB">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2、如设备到货后，若因甲方原因，货到甲方三个月内未验收，逾期视为验收合格。</w:t>
      </w:r>
    </w:p>
    <w:p w14:paraId="4B612952">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3、验收合格后，填写乙方提供的设备交接验收单，乙方向使用单位提交设备所包含的所有资料。以便使用单位日后管理和维护。</w:t>
      </w:r>
    </w:p>
    <w:p w14:paraId="589EACD1">
      <w:pPr>
        <w:keepNext w:val="0"/>
        <w:keepLines w:val="0"/>
        <w:pageBreakBefore w:val="0"/>
        <w:widowControl w:val="0"/>
        <w:wordWrap/>
        <w:overflowPunct/>
        <w:topLinePunct w:val="0"/>
        <w:autoSpaceDE/>
        <w:autoSpaceDN/>
        <w:bidi w:val="0"/>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sz w:val="24"/>
          <w:szCs w:val="24"/>
          <w:lang w:val="en-US" w:eastAsia="zh-CN"/>
        </w:rPr>
        <w:t>七</w:t>
      </w:r>
      <w:r>
        <w:rPr>
          <w:rFonts w:hint="eastAsia" w:ascii="宋体" w:hAnsi="宋体" w:eastAsia="宋体" w:cs="宋体"/>
          <w:b/>
          <w:sz w:val="24"/>
          <w:szCs w:val="24"/>
        </w:rPr>
        <w:t>、验收</w:t>
      </w:r>
    </w:p>
    <w:p w14:paraId="3383F93C">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（一）按国家现行项目实施规范和合同规定的验收评定标准等要求进行验收。</w:t>
      </w:r>
    </w:p>
    <w:p w14:paraId="7DD86BCA">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（二）验收依据</w:t>
      </w:r>
    </w:p>
    <w:p w14:paraId="3CC79BCB">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1、本项目招标文件、投标文件；</w:t>
      </w:r>
    </w:p>
    <w:p w14:paraId="5BA6B077">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2、本合同及附件文本；</w:t>
      </w:r>
    </w:p>
    <w:p w14:paraId="7F237E83">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097D4A2C">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4、供应商应向采购人提交项目实施过程中的所有资料，以便采购人日后管理和维护。</w:t>
      </w:r>
    </w:p>
    <w:p w14:paraId="4724CE5D">
      <w:pPr>
        <w:keepNext w:val="0"/>
        <w:keepLines w:val="0"/>
        <w:pageBreakBefore w:val="0"/>
        <w:widowControl w:val="0"/>
        <w:wordWrap/>
        <w:overflowPunct/>
        <w:topLinePunct w:val="0"/>
        <w:autoSpaceDE/>
        <w:autoSpaceDN/>
        <w:bidi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lang w:val="en-US" w:eastAsia="zh-CN"/>
        </w:rPr>
        <w:t>八</w:t>
      </w:r>
      <w:r>
        <w:rPr>
          <w:rFonts w:hint="eastAsia" w:ascii="宋体" w:hAnsi="宋体" w:eastAsia="宋体" w:cs="宋体"/>
          <w:b/>
          <w:sz w:val="24"/>
          <w:szCs w:val="24"/>
        </w:rPr>
        <w:t>、保密</w:t>
      </w:r>
    </w:p>
    <w:p w14:paraId="6EC23B9B">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bCs/>
          <w:sz w:val="24"/>
          <w:szCs w:val="24"/>
        </w:rPr>
      </w:pPr>
      <w:r>
        <w:rPr>
          <w:rFonts w:hint="eastAsia" w:ascii="宋体" w:hAnsi="宋体" w:eastAsia="宋体" w:cs="宋体"/>
          <w:bCs/>
          <w:sz w:val="24"/>
          <w:szCs w:val="24"/>
        </w:rPr>
        <w:t>对工作中了解到的采购人的技术、机密等进行严格保密，不得向他人泄漏。本合同的解除或终止不免除供应商应承担的保密义务。</w:t>
      </w:r>
    </w:p>
    <w:p w14:paraId="1BFD5954">
      <w:pPr>
        <w:keepNext w:val="0"/>
        <w:keepLines w:val="0"/>
        <w:pageBreakBefore w:val="0"/>
        <w:widowControl w:val="0"/>
        <w:wordWrap/>
        <w:overflowPunct/>
        <w:topLinePunct w:val="0"/>
        <w:autoSpaceDE/>
        <w:autoSpaceDN/>
        <w:bidi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lang w:val="en-US" w:eastAsia="zh-CN"/>
        </w:rPr>
        <w:t>九</w:t>
      </w:r>
      <w:r>
        <w:rPr>
          <w:rFonts w:hint="eastAsia" w:ascii="宋体" w:hAnsi="宋体" w:eastAsia="宋体" w:cs="宋体"/>
          <w:b/>
          <w:sz w:val="24"/>
          <w:szCs w:val="24"/>
        </w:rPr>
        <w:t>、知识产权</w:t>
      </w:r>
    </w:p>
    <w:p w14:paraId="75578C84">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b/>
          <w:sz w:val="24"/>
          <w:szCs w:val="24"/>
        </w:rPr>
      </w:pPr>
      <w:r>
        <w:rPr>
          <w:rFonts w:hint="eastAsia" w:ascii="宋体" w:hAnsi="宋体" w:eastAsia="宋体" w:cs="宋体"/>
          <w:bCs/>
          <w:sz w:val="24"/>
          <w:szCs w:val="24"/>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6EA20B71">
      <w:pPr>
        <w:keepNext w:val="0"/>
        <w:keepLines w:val="0"/>
        <w:pageBreakBefore w:val="0"/>
        <w:widowControl w:val="0"/>
        <w:tabs>
          <w:tab w:val="left" w:pos="498"/>
        </w:tabs>
        <w:wordWrap/>
        <w:overflowPunct/>
        <w:topLinePunct w:val="0"/>
        <w:autoSpaceDE/>
        <w:autoSpaceDN/>
        <w:bidi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十、合同争议的解决</w:t>
      </w:r>
    </w:p>
    <w:p w14:paraId="7BE386AE">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本合同在履行过程中发生的争议，由甲、乙双方当事人协商解决，协商不成的按下列（二</w:t>
      </w:r>
      <w:bookmarkStart w:id="0" w:name="_GoBack"/>
      <w:bookmarkEnd w:id="0"/>
      <w:r>
        <w:rPr>
          <w:rFonts w:hint="eastAsia" w:ascii="宋体" w:hAnsi="宋体" w:eastAsia="宋体" w:cs="宋体"/>
          <w:bCs/>
          <w:sz w:val="24"/>
          <w:szCs w:val="24"/>
          <w:lang w:val="en-US" w:eastAsia="zh-CN"/>
        </w:rPr>
        <w:t>）方式解决：</w:t>
      </w:r>
    </w:p>
    <w:p w14:paraId="6ABB6691">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（一）提交西安仲裁委员会仲裁；</w:t>
      </w:r>
    </w:p>
    <w:p w14:paraId="1FF491A3">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（二）依法向甲方所在地人民法院起诉。</w:t>
      </w:r>
    </w:p>
    <w:p w14:paraId="5EBA93D4">
      <w:pPr>
        <w:keepNext w:val="0"/>
        <w:keepLines w:val="0"/>
        <w:pageBreakBefore w:val="0"/>
        <w:widowControl w:val="0"/>
        <w:tabs>
          <w:tab w:val="left" w:pos="498"/>
        </w:tabs>
        <w:wordWrap/>
        <w:overflowPunct/>
        <w:topLinePunct w:val="0"/>
        <w:autoSpaceDE/>
        <w:autoSpaceDN/>
        <w:bidi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、不可抗力情况下的免责约定</w:t>
      </w:r>
    </w:p>
    <w:p w14:paraId="75A2E672">
      <w:pPr>
        <w:keepNext w:val="0"/>
        <w:keepLines w:val="0"/>
        <w:pageBreakBefore w:val="0"/>
        <w:widowControl w:val="0"/>
        <w:tabs>
          <w:tab w:val="left" w:pos="498"/>
        </w:tabs>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双方约定不可抗力情况包括：五级以上地震、大风、大雨、大雪。</w:t>
      </w:r>
    </w:p>
    <w:p w14:paraId="4B66E64A">
      <w:pPr>
        <w:keepNext w:val="0"/>
        <w:keepLines w:val="0"/>
        <w:pageBreakBefore w:val="0"/>
        <w:widowControl w:val="0"/>
        <w:wordWrap/>
        <w:overflowPunct/>
        <w:topLinePunct w:val="0"/>
        <w:autoSpaceDE/>
        <w:autoSpaceDN/>
        <w:bidi w:val="0"/>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sz w:val="24"/>
          <w:szCs w:val="24"/>
        </w:rPr>
        <w:t>除本合同约定，合同一经签订，不得擅自变更、中止或者终止合同。对确需变更、调整或者中止、终止合同的，应按规定履行相应的手续。</w:t>
      </w:r>
    </w:p>
    <w:p w14:paraId="5123B530">
      <w:pPr>
        <w:keepNext w:val="0"/>
        <w:keepLines w:val="0"/>
        <w:pageBreakBefore w:val="0"/>
        <w:widowControl w:val="0"/>
        <w:wordWrap/>
        <w:overflowPunct/>
        <w:topLinePunct w:val="0"/>
        <w:autoSpaceDE/>
        <w:autoSpaceDN/>
        <w:bidi w:val="0"/>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sz w:val="24"/>
          <w:szCs w:val="24"/>
        </w:rPr>
        <w:t>十</w:t>
      </w:r>
      <w:r>
        <w:rPr>
          <w:rFonts w:hint="eastAsia" w:ascii="宋体" w:hAnsi="宋体" w:eastAsia="宋体" w:cs="宋体"/>
          <w:b/>
          <w:sz w:val="24"/>
          <w:szCs w:val="24"/>
          <w:lang w:val="en-US" w:eastAsia="zh-CN"/>
        </w:rPr>
        <w:t>三</w:t>
      </w:r>
      <w:r>
        <w:rPr>
          <w:rFonts w:hint="eastAsia" w:ascii="宋体" w:hAnsi="宋体" w:eastAsia="宋体" w:cs="宋体"/>
          <w:b/>
          <w:sz w:val="24"/>
          <w:szCs w:val="24"/>
        </w:rPr>
        <w:t>、违约责任</w:t>
      </w:r>
      <w:r>
        <w:rPr>
          <w:rFonts w:hint="eastAsia" w:ascii="宋体" w:hAnsi="宋体" w:eastAsia="宋体" w:cs="宋体"/>
          <w:sz w:val="24"/>
          <w:szCs w:val="24"/>
        </w:rPr>
        <w:t>按《中华人民共和国民法典》中的相关条款和本合同的约定执行。</w:t>
      </w:r>
    </w:p>
    <w:p w14:paraId="365FA90C">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未按合同或招标文件要求提供服务质量不能满足采购人技术要求，采购人有权终止合同，甚至对供应商违约行为进行追究。</w:t>
      </w:r>
    </w:p>
    <w:p w14:paraId="104968B0">
      <w:pPr>
        <w:keepNext w:val="0"/>
        <w:keepLines w:val="0"/>
        <w:pageBreakBefore w:val="0"/>
        <w:widowControl w:val="0"/>
        <w:wordWrap/>
        <w:overflowPunct/>
        <w:topLinePunct w:val="0"/>
        <w:autoSpaceDE/>
        <w:autoSpaceDN/>
        <w:bidi w:val="0"/>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sz w:val="24"/>
          <w:szCs w:val="24"/>
        </w:rPr>
        <w:t>十</w:t>
      </w:r>
      <w:r>
        <w:rPr>
          <w:rFonts w:hint="eastAsia" w:ascii="宋体" w:hAnsi="宋体" w:eastAsia="宋体" w:cs="宋体"/>
          <w:b/>
          <w:sz w:val="24"/>
          <w:szCs w:val="24"/>
          <w:lang w:val="en-US" w:eastAsia="zh-CN"/>
        </w:rPr>
        <w:t>四</w:t>
      </w:r>
      <w:r>
        <w:rPr>
          <w:rFonts w:hint="eastAsia" w:ascii="宋体" w:hAnsi="宋体" w:eastAsia="宋体" w:cs="宋体"/>
          <w:b/>
          <w:sz w:val="24"/>
          <w:szCs w:val="24"/>
        </w:rPr>
        <w:t>、其他（</w:t>
      </w:r>
      <w:r>
        <w:rPr>
          <w:rFonts w:hint="eastAsia" w:ascii="宋体" w:hAnsi="宋体" w:eastAsia="宋体" w:cs="宋体"/>
          <w:sz w:val="24"/>
          <w:szCs w:val="24"/>
        </w:rPr>
        <w:t>在合同中具体明确）</w:t>
      </w:r>
    </w:p>
    <w:p w14:paraId="37B9DB4B">
      <w:pPr>
        <w:keepNext w:val="0"/>
        <w:keepLines w:val="0"/>
        <w:pageBreakBefore w:val="0"/>
        <w:widowControl w:val="0"/>
        <w:wordWrap/>
        <w:overflowPunct/>
        <w:topLinePunct w:val="0"/>
        <w:autoSpaceDE/>
        <w:autoSpaceDN/>
        <w:bidi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十</w:t>
      </w:r>
      <w:r>
        <w:rPr>
          <w:rFonts w:hint="eastAsia" w:ascii="宋体" w:hAnsi="宋体" w:eastAsia="宋体" w:cs="宋体"/>
          <w:b/>
          <w:sz w:val="24"/>
          <w:szCs w:val="24"/>
          <w:lang w:val="en-US" w:eastAsia="zh-CN"/>
        </w:rPr>
        <w:t>五</w:t>
      </w:r>
      <w:r>
        <w:rPr>
          <w:rFonts w:hint="eastAsia" w:ascii="宋体" w:hAnsi="宋体" w:eastAsia="宋体" w:cs="宋体"/>
          <w:b/>
          <w:sz w:val="24"/>
          <w:szCs w:val="24"/>
        </w:rPr>
        <w:t>、合同订立</w:t>
      </w:r>
    </w:p>
    <w:p w14:paraId="7E7EFC77">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 订立时间：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E2A4A6C">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 订立地点：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5CA14DE">
      <w:pPr>
        <w:keepNext w:val="0"/>
        <w:keepLines w:val="0"/>
        <w:pageBreakBefore w:val="0"/>
        <w:widowControl w:val="0"/>
        <w:tabs>
          <w:tab w:val="left" w:pos="980"/>
        </w:tabs>
        <w:kinsoku w:val="0"/>
        <w:wordWrap/>
        <w:overflowPunct/>
        <w:topLinePunct w:val="0"/>
        <w:autoSpaceDE/>
        <w:autoSpaceDN/>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 本合同一式</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份，具有同等法律效力，采购人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份。各方签字盖章后生效，合同执行完毕自动失效。（合同的服务承诺则长期有效）。</w:t>
      </w:r>
    </w:p>
    <w:p w14:paraId="1C0122B3">
      <w:pPr>
        <w:adjustRightInd w:val="0"/>
        <w:snapToGrid w:val="0"/>
        <w:rPr>
          <w:rFonts w:eastAsia="宋体"/>
          <w:b/>
          <w:sz w:val="28"/>
          <w:szCs w:val="28"/>
        </w:rPr>
      </w:pPr>
    </w:p>
    <w:p w14:paraId="43FDD9BB">
      <w:pPr>
        <w:adjustRightInd w:val="0"/>
        <w:snapToGrid w:val="0"/>
        <w:rPr>
          <w:rFonts w:eastAsia="宋体"/>
          <w:b/>
          <w:sz w:val="28"/>
          <w:szCs w:val="28"/>
        </w:rPr>
      </w:pPr>
    </w:p>
    <w:p w14:paraId="2DB42824">
      <w:pPr>
        <w:adjustRightInd w:val="0"/>
        <w:snapToGrid w:val="0"/>
        <w:ind w:firstLine="562" w:firstLineChars="200"/>
        <w:jc w:val="left"/>
        <w:rPr>
          <w:rFonts w:eastAsia="宋体"/>
          <w:b/>
          <w:sz w:val="28"/>
          <w:szCs w:val="28"/>
        </w:rPr>
      </w:pPr>
      <w:r>
        <w:rPr>
          <w:rFonts w:hAnsi="宋体" w:eastAsia="宋体"/>
          <w:b/>
          <w:sz w:val="28"/>
          <w:szCs w:val="28"/>
        </w:rPr>
        <w:t>甲</w:t>
      </w:r>
      <w:r>
        <w:rPr>
          <w:rFonts w:eastAsia="宋体"/>
          <w:b/>
          <w:sz w:val="28"/>
          <w:szCs w:val="28"/>
        </w:rPr>
        <w:t xml:space="preserve">    </w:t>
      </w:r>
      <w:r>
        <w:rPr>
          <w:rFonts w:hAnsi="宋体" w:eastAsia="宋体"/>
          <w:b/>
          <w:sz w:val="28"/>
          <w:szCs w:val="28"/>
        </w:rPr>
        <w:t>方</w:t>
      </w:r>
      <w:r>
        <w:rPr>
          <w:rFonts w:eastAsia="宋体"/>
          <w:b/>
          <w:sz w:val="28"/>
          <w:szCs w:val="28"/>
        </w:rPr>
        <w:t xml:space="preserve">                 </w:t>
      </w:r>
      <w:r>
        <w:rPr>
          <w:rFonts w:eastAsia="宋体"/>
          <w:b/>
          <w:sz w:val="28"/>
          <w:szCs w:val="28"/>
        </w:rPr>
        <w:tab/>
      </w:r>
      <w:r>
        <w:rPr>
          <w:rFonts w:hint="eastAsia" w:eastAsia="宋体"/>
          <w:b/>
          <w:sz w:val="28"/>
          <w:szCs w:val="28"/>
        </w:rPr>
        <w:t xml:space="preserve">  </w:t>
      </w:r>
      <w:r>
        <w:rPr>
          <w:rFonts w:hAnsi="宋体" w:eastAsia="宋体"/>
          <w:b/>
          <w:sz w:val="28"/>
          <w:szCs w:val="28"/>
        </w:rPr>
        <w:t>乙</w:t>
      </w:r>
      <w:r>
        <w:rPr>
          <w:rFonts w:eastAsia="宋体"/>
          <w:b/>
          <w:sz w:val="28"/>
          <w:szCs w:val="28"/>
        </w:rPr>
        <w:t xml:space="preserve">    </w:t>
      </w:r>
      <w:r>
        <w:rPr>
          <w:rFonts w:hAnsi="宋体" w:eastAsia="宋体"/>
          <w:b/>
          <w:sz w:val="28"/>
          <w:szCs w:val="28"/>
        </w:rPr>
        <w:t>方</w:t>
      </w:r>
    </w:p>
    <w:p w14:paraId="2A5055C2">
      <w:pPr>
        <w:adjustRightInd w:val="0"/>
        <w:snapToGrid w:val="0"/>
        <w:ind w:firstLine="560" w:firstLineChars="200"/>
        <w:rPr>
          <w:rFonts w:hAnsi="宋体" w:eastAsia="宋体"/>
          <w:w w:val="90"/>
          <w:sz w:val="28"/>
          <w:szCs w:val="28"/>
        </w:rPr>
      </w:pPr>
      <w:r>
        <w:rPr>
          <w:rFonts w:hAnsi="宋体" w:eastAsia="宋体"/>
          <w:sz w:val="28"/>
          <w:szCs w:val="28"/>
        </w:rPr>
        <w:t>单位名称</w:t>
      </w:r>
      <w:r>
        <w:rPr>
          <w:rFonts w:hint="eastAsia" w:eastAsia="宋体"/>
          <w:sz w:val="28"/>
          <w:szCs w:val="28"/>
        </w:rPr>
        <w:t>：</w:t>
      </w:r>
      <w:r>
        <w:rPr>
          <w:rFonts w:eastAsia="宋体"/>
          <w:sz w:val="28"/>
          <w:szCs w:val="28"/>
        </w:rPr>
        <w:t xml:space="preserve">   </w:t>
      </w:r>
      <w:r>
        <w:rPr>
          <w:rFonts w:hint="eastAsia" w:eastAsia="宋体"/>
          <w:sz w:val="28"/>
          <w:szCs w:val="28"/>
        </w:rPr>
        <w:t xml:space="preserve">   </w:t>
      </w:r>
      <w:r>
        <w:rPr>
          <w:rFonts w:hint="eastAsia" w:eastAsia="宋体"/>
          <w:sz w:val="28"/>
          <w:szCs w:val="28"/>
          <w:lang w:val="en-US" w:eastAsia="zh-CN"/>
        </w:rPr>
        <w:t xml:space="preserve">            </w:t>
      </w:r>
      <w:r>
        <w:rPr>
          <w:rFonts w:hAnsi="宋体" w:eastAsia="宋体"/>
          <w:sz w:val="28"/>
          <w:szCs w:val="28"/>
        </w:rPr>
        <w:t>单位名称：</w:t>
      </w:r>
      <w:r>
        <w:rPr>
          <w:rFonts w:eastAsia="宋体"/>
          <w:w w:val="90"/>
          <w:sz w:val="28"/>
          <w:szCs w:val="28"/>
        </w:rPr>
        <w:t xml:space="preserve"> </w:t>
      </w:r>
    </w:p>
    <w:p w14:paraId="31D50604">
      <w:pPr>
        <w:adjustRightInd w:val="0"/>
        <w:snapToGrid w:val="0"/>
        <w:ind w:left="5037" w:leftChars="174" w:hanging="4480" w:hangingChars="1600"/>
        <w:rPr>
          <w:rFonts w:hAnsi="宋体" w:eastAsia="宋体"/>
          <w:w w:val="80"/>
          <w:sz w:val="28"/>
          <w:szCs w:val="28"/>
        </w:rPr>
      </w:pPr>
      <w:r>
        <w:rPr>
          <w:rFonts w:hAnsi="宋体" w:eastAsia="宋体"/>
          <w:sz w:val="28"/>
          <w:szCs w:val="28"/>
        </w:rPr>
        <w:t>地</w:t>
      </w:r>
      <w:r>
        <w:rPr>
          <w:rFonts w:eastAsia="宋体"/>
          <w:sz w:val="28"/>
          <w:szCs w:val="28"/>
        </w:rPr>
        <w:t xml:space="preserve">    </w:t>
      </w:r>
      <w:r>
        <w:rPr>
          <w:rFonts w:hAnsi="宋体" w:eastAsia="宋体"/>
          <w:sz w:val="28"/>
          <w:szCs w:val="28"/>
        </w:rPr>
        <w:t>址</w:t>
      </w:r>
      <w:r>
        <w:rPr>
          <w:rFonts w:hint="eastAsia" w:eastAsia="宋体"/>
          <w:sz w:val="28"/>
          <w:szCs w:val="28"/>
        </w:rPr>
        <w:t>：</w:t>
      </w:r>
      <w:r>
        <w:rPr>
          <w:rFonts w:eastAsia="宋体"/>
          <w:sz w:val="28"/>
          <w:szCs w:val="28"/>
        </w:rPr>
        <w:t xml:space="preserve">       </w:t>
      </w:r>
      <w:r>
        <w:rPr>
          <w:rFonts w:hint="eastAsia" w:eastAsia="宋体"/>
          <w:sz w:val="28"/>
          <w:szCs w:val="28"/>
          <w:lang w:val="en-US" w:eastAsia="zh-CN"/>
        </w:rPr>
        <w:t xml:space="preserve">           </w:t>
      </w:r>
      <w:r>
        <w:rPr>
          <w:rFonts w:hAnsi="宋体" w:eastAsia="宋体"/>
          <w:sz w:val="28"/>
          <w:szCs w:val="28"/>
        </w:rPr>
        <w:t>地</w:t>
      </w:r>
      <w:r>
        <w:rPr>
          <w:rFonts w:eastAsia="宋体"/>
          <w:sz w:val="28"/>
          <w:szCs w:val="28"/>
        </w:rPr>
        <w:t xml:space="preserve">    </w:t>
      </w:r>
      <w:r>
        <w:rPr>
          <w:rFonts w:hAnsi="宋体" w:eastAsia="宋体"/>
          <w:sz w:val="28"/>
          <w:szCs w:val="28"/>
        </w:rPr>
        <w:t>址</w:t>
      </w:r>
      <w:r>
        <w:rPr>
          <w:rFonts w:hint="eastAsia" w:eastAsia="宋体"/>
          <w:sz w:val="28"/>
          <w:szCs w:val="28"/>
        </w:rPr>
        <w:t>：</w:t>
      </w:r>
    </w:p>
    <w:p w14:paraId="0AA9D1BD">
      <w:pPr>
        <w:adjustRightInd w:val="0"/>
        <w:snapToGrid w:val="0"/>
        <w:ind w:firstLine="560" w:firstLineChars="200"/>
        <w:jc w:val="left"/>
        <w:rPr>
          <w:rFonts w:eastAsia="宋体"/>
          <w:sz w:val="28"/>
          <w:szCs w:val="28"/>
        </w:rPr>
      </w:pPr>
      <w:r>
        <w:rPr>
          <w:rFonts w:hAnsi="宋体" w:eastAsia="宋体"/>
          <w:sz w:val="28"/>
          <w:szCs w:val="28"/>
        </w:rPr>
        <w:t>法人代表：</w:t>
      </w:r>
      <w:r>
        <w:rPr>
          <w:rFonts w:eastAsia="宋体"/>
          <w:sz w:val="28"/>
          <w:szCs w:val="28"/>
        </w:rPr>
        <w:t xml:space="preserve">             </w:t>
      </w:r>
      <w:r>
        <w:rPr>
          <w:rFonts w:hint="eastAsia" w:eastAsia="宋体"/>
          <w:sz w:val="28"/>
          <w:szCs w:val="28"/>
        </w:rPr>
        <w:t xml:space="preserve">     </w:t>
      </w:r>
      <w:r>
        <w:rPr>
          <w:rFonts w:hAnsi="宋体" w:eastAsia="宋体"/>
          <w:sz w:val="28"/>
          <w:szCs w:val="28"/>
        </w:rPr>
        <w:t>法人代表：</w:t>
      </w:r>
    </w:p>
    <w:p w14:paraId="3973BEF6">
      <w:pPr>
        <w:adjustRightInd w:val="0"/>
        <w:snapToGrid w:val="0"/>
        <w:ind w:firstLine="560" w:firstLineChars="200"/>
        <w:jc w:val="left"/>
        <w:rPr>
          <w:rFonts w:eastAsia="宋体"/>
          <w:sz w:val="28"/>
          <w:szCs w:val="28"/>
        </w:rPr>
      </w:pPr>
      <w:r>
        <w:rPr>
          <w:rFonts w:hAnsi="宋体" w:eastAsia="宋体"/>
          <w:sz w:val="28"/>
          <w:szCs w:val="28"/>
        </w:rPr>
        <w:t>经</w:t>
      </w:r>
      <w:r>
        <w:rPr>
          <w:rFonts w:eastAsia="宋体"/>
          <w:sz w:val="28"/>
          <w:szCs w:val="28"/>
        </w:rPr>
        <w:t xml:space="preserve"> </w:t>
      </w:r>
      <w:r>
        <w:rPr>
          <w:rFonts w:hAnsi="宋体" w:eastAsia="宋体"/>
          <w:sz w:val="28"/>
          <w:szCs w:val="28"/>
        </w:rPr>
        <w:t>办</w:t>
      </w:r>
      <w:r>
        <w:rPr>
          <w:rFonts w:eastAsia="宋体"/>
          <w:sz w:val="28"/>
          <w:szCs w:val="28"/>
        </w:rPr>
        <w:t xml:space="preserve"> </w:t>
      </w:r>
      <w:r>
        <w:rPr>
          <w:rFonts w:hAnsi="宋体" w:eastAsia="宋体"/>
          <w:sz w:val="28"/>
          <w:szCs w:val="28"/>
        </w:rPr>
        <w:t>人：</w:t>
      </w:r>
      <w:r>
        <w:rPr>
          <w:rFonts w:eastAsia="宋体"/>
          <w:sz w:val="28"/>
          <w:szCs w:val="28"/>
        </w:rPr>
        <w:t xml:space="preserve">              </w:t>
      </w:r>
      <w:r>
        <w:rPr>
          <w:rFonts w:hint="eastAsia" w:eastAsia="宋体"/>
          <w:sz w:val="28"/>
          <w:szCs w:val="28"/>
        </w:rPr>
        <w:t xml:space="preserve">    </w:t>
      </w:r>
      <w:r>
        <w:rPr>
          <w:rFonts w:hAnsi="宋体" w:eastAsia="宋体"/>
          <w:sz w:val="28"/>
          <w:szCs w:val="28"/>
        </w:rPr>
        <w:t>经</w:t>
      </w:r>
      <w:r>
        <w:rPr>
          <w:rFonts w:eastAsia="宋体"/>
          <w:sz w:val="28"/>
          <w:szCs w:val="28"/>
        </w:rPr>
        <w:t xml:space="preserve"> </w:t>
      </w:r>
      <w:r>
        <w:rPr>
          <w:rFonts w:hAnsi="宋体" w:eastAsia="宋体"/>
          <w:sz w:val="28"/>
          <w:szCs w:val="28"/>
        </w:rPr>
        <w:t>办</w:t>
      </w:r>
      <w:r>
        <w:rPr>
          <w:rFonts w:eastAsia="宋体"/>
          <w:sz w:val="28"/>
          <w:szCs w:val="28"/>
        </w:rPr>
        <w:t xml:space="preserve"> </w:t>
      </w:r>
      <w:r>
        <w:rPr>
          <w:rFonts w:hAnsi="宋体" w:eastAsia="宋体"/>
          <w:sz w:val="28"/>
          <w:szCs w:val="28"/>
        </w:rPr>
        <w:t>人：</w:t>
      </w:r>
      <w:r>
        <w:rPr>
          <w:rFonts w:eastAsia="宋体"/>
          <w:sz w:val="28"/>
          <w:szCs w:val="28"/>
        </w:rPr>
        <w:t xml:space="preserve"> </w:t>
      </w:r>
    </w:p>
    <w:p w14:paraId="467A5147">
      <w:pPr>
        <w:adjustRightInd w:val="0"/>
        <w:snapToGrid w:val="0"/>
        <w:ind w:firstLine="560" w:firstLineChars="200"/>
        <w:jc w:val="left"/>
        <w:rPr>
          <w:rFonts w:eastAsia="宋体"/>
          <w:sz w:val="28"/>
          <w:szCs w:val="28"/>
        </w:rPr>
      </w:pPr>
      <w:r>
        <w:rPr>
          <w:rFonts w:hAnsi="宋体" w:eastAsia="宋体"/>
          <w:sz w:val="28"/>
          <w:szCs w:val="28"/>
        </w:rPr>
        <w:t>联系电话：</w:t>
      </w:r>
      <w:r>
        <w:rPr>
          <w:rFonts w:eastAsia="宋体"/>
          <w:sz w:val="28"/>
          <w:szCs w:val="28"/>
        </w:rPr>
        <w:t xml:space="preserve">               </w:t>
      </w:r>
      <w:r>
        <w:rPr>
          <w:rFonts w:hint="eastAsia" w:eastAsia="宋体"/>
          <w:sz w:val="28"/>
          <w:szCs w:val="28"/>
        </w:rPr>
        <w:t xml:space="preserve">   </w:t>
      </w:r>
      <w:r>
        <w:rPr>
          <w:rFonts w:hAnsi="宋体" w:eastAsia="宋体"/>
          <w:sz w:val="28"/>
          <w:szCs w:val="28"/>
        </w:rPr>
        <w:t>联系电话：</w:t>
      </w:r>
    </w:p>
    <w:p w14:paraId="43EB53B0">
      <w:pPr>
        <w:adjustRightInd w:val="0"/>
        <w:snapToGrid w:val="0"/>
        <w:ind w:left="1537" w:leftChars="174" w:hanging="980" w:hangingChars="350"/>
        <w:jc w:val="left"/>
        <w:rPr>
          <w:rFonts w:hAnsi="宋体" w:eastAsia="宋体"/>
          <w:sz w:val="28"/>
          <w:szCs w:val="28"/>
        </w:rPr>
      </w:pPr>
      <w:r>
        <w:rPr>
          <w:rFonts w:hAnsi="宋体" w:eastAsia="宋体"/>
          <w:sz w:val="28"/>
          <w:szCs w:val="28"/>
        </w:rPr>
        <w:t>开</w:t>
      </w:r>
      <w:r>
        <w:rPr>
          <w:rFonts w:eastAsia="宋体"/>
          <w:sz w:val="28"/>
          <w:szCs w:val="28"/>
        </w:rPr>
        <w:t xml:space="preserve"> </w:t>
      </w:r>
      <w:r>
        <w:rPr>
          <w:rFonts w:hAnsi="宋体" w:eastAsia="宋体"/>
          <w:sz w:val="28"/>
          <w:szCs w:val="28"/>
        </w:rPr>
        <w:t>户</w:t>
      </w:r>
      <w:r>
        <w:rPr>
          <w:rFonts w:eastAsia="宋体"/>
          <w:sz w:val="28"/>
          <w:szCs w:val="28"/>
        </w:rPr>
        <w:t xml:space="preserve"> </w:t>
      </w:r>
      <w:r>
        <w:rPr>
          <w:rFonts w:hAnsi="宋体" w:eastAsia="宋体"/>
          <w:sz w:val="28"/>
          <w:szCs w:val="28"/>
        </w:rPr>
        <w:t>行：</w:t>
      </w:r>
      <w:r>
        <w:rPr>
          <w:rFonts w:eastAsia="宋体"/>
          <w:sz w:val="28"/>
          <w:szCs w:val="28"/>
        </w:rPr>
        <w:t xml:space="preserve">               </w:t>
      </w:r>
      <w:r>
        <w:rPr>
          <w:rFonts w:hint="eastAsia" w:eastAsia="宋体"/>
          <w:sz w:val="28"/>
          <w:szCs w:val="28"/>
        </w:rPr>
        <w:t xml:space="preserve">   </w:t>
      </w:r>
      <w:r>
        <w:rPr>
          <w:rFonts w:hAnsi="宋体" w:eastAsia="宋体"/>
          <w:sz w:val="28"/>
          <w:szCs w:val="28"/>
        </w:rPr>
        <w:t>开</w:t>
      </w:r>
      <w:r>
        <w:rPr>
          <w:rFonts w:eastAsia="宋体"/>
          <w:sz w:val="28"/>
          <w:szCs w:val="28"/>
        </w:rPr>
        <w:t xml:space="preserve"> </w:t>
      </w:r>
      <w:r>
        <w:rPr>
          <w:rFonts w:hAnsi="宋体" w:eastAsia="宋体"/>
          <w:sz w:val="28"/>
          <w:szCs w:val="28"/>
        </w:rPr>
        <w:t>户</w:t>
      </w:r>
      <w:r>
        <w:rPr>
          <w:rFonts w:eastAsia="宋体"/>
          <w:sz w:val="28"/>
          <w:szCs w:val="28"/>
        </w:rPr>
        <w:t xml:space="preserve"> </w:t>
      </w:r>
      <w:r>
        <w:rPr>
          <w:rFonts w:hAnsi="宋体" w:eastAsia="宋体"/>
          <w:sz w:val="28"/>
          <w:szCs w:val="28"/>
        </w:rPr>
        <w:t>行：</w:t>
      </w:r>
    </w:p>
    <w:p w14:paraId="518AB211">
      <w:pPr>
        <w:adjustRightInd w:val="0"/>
        <w:snapToGrid w:val="0"/>
        <w:ind w:left="1537" w:leftChars="174" w:hanging="980" w:hangingChars="350"/>
        <w:jc w:val="left"/>
        <w:rPr>
          <w:rFonts w:hint="eastAsia" w:eastAsia="宋体"/>
          <w:sz w:val="28"/>
          <w:szCs w:val="28"/>
        </w:rPr>
      </w:pPr>
      <w:r>
        <w:rPr>
          <w:rFonts w:hAnsi="宋体" w:eastAsia="宋体"/>
          <w:sz w:val="28"/>
          <w:szCs w:val="28"/>
        </w:rPr>
        <w:t>帐</w:t>
      </w:r>
      <w:r>
        <w:rPr>
          <w:rFonts w:eastAsia="宋体"/>
          <w:sz w:val="28"/>
          <w:szCs w:val="28"/>
        </w:rPr>
        <w:t xml:space="preserve">    </w:t>
      </w:r>
      <w:r>
        <w:rPr>
          <w:rFonts w:hAnsi="宋体" w:eastAsia="宋体"/>
          <w:sz w:val="28"/>
          <w:szCs w:val="28"/>
        </w:rPr>
        <w:t>号：</w:t>
      </w:r>
      <w:r>
        <w:rPr>
          <w:rFonts w:eastAsia="宋体"/>
          <w:sz w:val="28"/>
          <w:szCs w:val="28"/>
        </w:rPr>
        <w:t xml:space="preserve">             </w:t>
      </w:r>
      <w:r>
        <w:rPr>
          <w:rFonts w:hint="eastAsia" w:eastAsia="宋体"/>
          <w:sz w:val="28"/>
          <w:szCs w:val="28"/>
        </w:rPr>
        <w:t xml:space="preserve"> </w:t>
      </w:r>
      <w:r>
        <w:rPr>
          <w:rFonts w:eastAsia="宋体"/>
          <w:sz w:val="28"/>
          <w:szCs w:val="28"/>
        </w:rPr>
        <w:t xml:space="preserve"> </w:t>
      </w:r>
      <w:r>
        <w:rPr>
          <w:rFonts w:hint="eastAsia" w:eastAsia="宋体"/>
          <w:sz w:val="28"/>
          <w:szCs w:val="28"/>
        </w:rPr>
        <w:t xml:space="preserve">   </w:t>
      </w:r>
      <w:r>
        <w:rPr>
          <w:rFonts w:hAnsi="宋体" w:eastAsia="宋体"/>
          <w:sz w:val="28"/>
          <w:szCs w:val="28"/>
        </w:rPr>
        <w:t>帐</w:t>
      </w:r>
      <w:r>
        <w:rPr>
          <w:rFonts w:eastAsia="宋体"/>
          <w:sz w:val="28"/>
          <w:szCs w:val="28"/>
        </w:rPr>
        <w:t xml:space="preserve">    </w:t>
      </w:r>
      <w:r>
        <w:rPr>
          <w:rFonts w:hAnsi="宋体" w:eastAsia="宋体"/>
          <w:sz w:val="28"/>
          <w:szCs w:val="28"/>
        </w:rPr>
        <w:t>号：</w:t>
      </w:r>
    </w:p>
    <w:sectPr>
      <w:headerReference r:id="rId3" w:type="default"/>
      <w:footerReference r:id="rId4" w:type="default"/>
      <w:footerReference r:id="rId5"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196E3">
    <w:pPr>
      <w:pStyle w:val="4"/>
      <w:tabs>
        <w:tab w:val="right" w:pos="8715"/>
        <w:tab w:val="clear" w:pos="8306"/>
      </w:tabs>
      <w:ind w:right="-25"/>
      <w:rPr>
        <w:rFonts w:hint="eastAsia"/>
        <w:kern w:val="0"/>
        <w:szCs w:val="21"/>
        <w:u w:val="single"/>
      </w:rPr>
    </w:pPr>
    <w:r>
      <w:rPr>
        <w:rFonts w:hint="eastAsia"/>
        <w:kern w:val="0"/>
        <w:szCs w:val="21"/>
        <w:u w:val="singl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13716">
    <w:pPr>
      <w:pStyle w:val="4"/>
      <w:framePr w:wrap="around" w:vAnchor="text" w:hAnchor="margin" w:xAlign="right" w:y="1"/>
      <w:rPr>
        <w:rStyle w:val="10"/>
      </w:rPr>
    </w:pPr>
    <w:r>
      <w:fldChar w:fldCharType="begin"/>
    </w:r>
    <w:r>
      <w:rPr>
        <w:rStyle w:val="10"/>
      </w:rPr>
      <w:instrText xml:space="preserve">PAGE  </w:instrText>
    </w:r>
    <w:r>
      <w:fldChar w:fldCharType="separate"/>
    </w:r>
    <w:r>
      <w:rPr>
        <w:rStyle w:val="10"/>
      </w:rPr>
      <w:t>2</w:t>
    </w:r>
    <w:r>
      <w:fldChar w:fldCharType="end"/>
    </w:r>
  </w:p>
  <w:p w14:paraId="083BB846">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23850">
    <w:pPr>
      <w:pStyle w:val="5"/>
      <w:pBdr>
        <w:bottom w:val="single" w:color="auto" w:sz="6" w:space="8"/>
      </w:pBdr>
      <w:wordWrap w:val="0"/>
      <w:ind w:right="3"/>
      <w:jc w:val="right"/>
      <w:rPr>
        <w:rFonts w:hint="eastAsia"/>
        <w:b/>
        <w:bCs/>
        <w:i/>
        <w:iCs/>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F67"/>
    <w:rsid w:val="00022A64"/>
    <w:rsid w:val="00057FE3"/>
    <w:rsid w:val="000C1904"/>
    <w:rsid w:val="000F1899"/>
    <w:rsid w:val="001D31B6"/>
    <w:rsid w:val="00206A2C"/>
    <w:rsid w:val="00210F86"/>
    <w:rsid w:val="0026284E"/>
    <w:rsid w:val="002A166B"/>
    <w:rsid w:val="002A371A"/>
    <w:rsid w:val="002A51AE"/>
    <w:rsid w:val="00312A3E"/>
    <w:rsid w:val="00376A9F"/>
    <w:rsid w:val="003877A8"/>
    <w:rsid w:val="003B6C87"/>
    <w:rsid w:val="003E0149"/>
    <w:rsid w:val="004C0E26"/>
    <w:rsid w:val="004E7C0A"/>
    <w:rsid w:val="005125B4"/>
    <w:rsid w:val="00517992"/>
    <w:rsid w:val="005C15CA"/>
    <w:rsid w:val="0065629E"/>
    <w:rsid w:val="006D7376"/>
    <w:rsid w:val="007037BB"/>
    <w:rsid w:val="007A2AA4"/>
    <w:rsid w:val="007B29FA"/>
    <w:rsid w:val="0086044E"/>
    <w:rsid w:val="009071C8"/>
    <w:rsid w:val="009D4D0E"/>
    <w:rsid w:val="009F5987"/>
    <w:rsid w:val="00A228F0"/>
    <w:rsid w:val="00A40FDF"/>
    <w:rsid w:val="00A86DCB"/>
    <w:rsid w:val="00AC08C3"/>
    <w:rsid w:val="00AF0A8F"/>
    <w:rsid w:val="00AF144E"/>
    <w:rsid w:val="00B75B3F"/>
    <w:rsid w:val="00C75918"/>
    <w:rsid w:val="00CD79A4"/>
    <w:rsid w:val="00CE7351"/>
    <w:rsid w:val="00D827D0"/>
    <w:rsid w:val="00DB52A5"/>
    <w:rsid w:val="00E220EB"/>
    <w:rsid w:val="00E550E4"/>
    <w:rsid w:val="00EA0A4B"/>
    <w:rsid w:val="00F2348A"/>
    <w:rsid w:val="00F71713"/>
    <w:rsid w:val="15A07CF1"/>
    <w:rsid w:val="2CF56AF6"/>
    <w:rsid w:val="36FF1591"/>
    <w:rsid w:val="40583EC3"/>
    <w:rsid w:val="49A10689"/>
    <w:rsid w:val="49F92273"/>
    <w:rsid w:val="4AE7656F"/>
    <w:rsid w:val="50491F0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kern w:val="2"/>
      <w:sz w:val="32"/>
      <w:szCs w:val="32"/>
      <w:lang w:val="en-US" w:eastAsia="zh-CN" w:bidi="ar-SA"/>
    </w:rPr>
  </w:style>
  <w:style w:type="character" w:default="1" w:styleId="7">
    <w:name w:val="Default Paragraph Font"/>
    <w:link w:val="8"/>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Balloon Text"/>
    <w:basedOn w:val="1"/>
    <w:semiHidden/>
    <w:uiPriority w:val="0"/>
    <w:rPr>
      <w:sz w:val="18"/>
      <w:szCs w:val="18"/>
    </w:rPr>
  </w:style>
  <w:style w:type="paragraph" w:styleId="4">
    <w:name w:val="footer"/>
    <w:basedOn w:val="1"/>
    <w:uiPriority w:val="0"/>
    <w:pPr>
      <w:tabs>
        <w:tab w:val="center" w:pos="4153"/>
        <w:tab w:val="right" w:pos="8306"/>
      </w:tabs>
      <w:snapToGrid w:val="0"/>
      <w:jc w:val="left"/>
    </w:pPr>
    <w:rPr>
      <w:sz w:val="18"/>
      <w:szCs w:val="20"/>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20"/>
    </w:rPr>
  </w:style>
  <w:style w:type="paragraph" w:customStyle="1" w:styleId="8">
    <w:name w:val=" Char"/>
    <w:basedOn w:val="1"/>
    <w:link w:val="7"/>
    <w:uiPriority w:val="0"/>
    <w:pPr>
      <w:spacing w:line="440" w:lineRule="atLeast"/>
      <w:ind w:firstLine="482" w:firstLineChars="200"/>
    </w:pPr>
    <w:rPr>
      <w:rFonts w:ascii="宋体" w:hAnsi="宋体" w:eastAsia="宋体"/>
      <w:b/>
      <w:color w:val="000000"/>
      <w:sz w:val="24"/>
      <w:szCs w:val="24"/>
    </w:rPr>
  </w:style>
  <w:style w:type="character" w:styleId="9">
    <w:name w:val="Strong"/>
    <w:qFormat/>
    <w:uiPriority w:val="0"/>
    <w:rPr>
      <w:b/>
      <w:bCs/>
    </w:rPr>
  </w:style>
  <w:style w:type="character" w:styleId="10">
    <w:name w:val="page number"/>
    <w:basedOn w:val="7"/>
    <w:uiPriority w:val="0"/>
  </w:style>
  <w:style w:type="paragraph" w:customStyle="1" w:styleId="11">
    <w:name w:val=" Char1"/>
    <w:basedOn w:val="1"/>
    <w:uiPriority w:val="0"/>
    <w:pPr>
      <w:spacing w:line="440" w:lineRule="atLeast"/>
      <w:ind w:firstLine="482" w:firstLineChars="200"/>
    </w:pPr>
    <w:rPr>
      <w:rFonts w:ascii="宋体" w:hAnsi="宋体" w:eastAsia="宋体"/>
      <w:b/>
      <w:color w:val="000000"/>
      <w:sz w:val="24"/>
      <w:szCs w:val="24"/>
    </w:rPr>
  </w:style>
  <w:style w:type="paragraph" w:customStyle="1" w:styleId="12">
    <w:name w:val="p0"/>
    <w:basedOn w:val="1"/>
    <w:uiPriority w:val="0"/>
    <w:pPr>
      <w:widowControl/>
    </w:pPr>
    <w:rPr>
      <w:rFonts w:eastAsia="宋体"/>
      <w:kern w:val="0"/>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陕西健安</Company>
  <Pages>3</Pages>
  <Words>1607</Words>
  <Characters>1615</Characters>
  <Lines>10</Lines>
  <Paragraphs>3</Paragraphs>
  <TotalTime>0</TotalTime>
  <ScaleCrop>false</ScaleCrop>
  <LinksUpToDate>false</LinksUpToDate>
  <CharactersWithSpaces>1995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2016-11-04T04:07:00Z</dcterms:created>
  <dc:creator>方宏江</dc:creator>
  <cp:lastModifiedBy>八点半…</cp:lastModifiedBy>
  <cp:lastPrinted>2025-07-09T05:22:00Z</cp:lastPrinted>
  <dcterms:modified xsi:type="dcterms:W3CDTF">2025-07-17T01:56:27Z</dcterms:modified>
  <dc:title>合同编号:EF06-0901</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eyJoZGlkIjoiN2E0YTNhZmJmNDc5YzAwMmRiNTE4ZjljMjU5Njg3YzMiLCJ1c2VySWQiOiIyMzI5NDA5MjQifQ==</vt:lpwstr>
  </property>
  <property fmtid="{D5CDD505-2E9C-101B-9397-08002B2CF9AE}" pid="4" name="ICV">
    <vt:lpwstr>DE779D7846734CB4975B174A2675FA78_13</vt:lpwstr>
  </property>
</Properties>
</file>