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版本号：SXZH-2025-07120250716001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临潼主城区老旧基础设施提升改造项目勘察设计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SXZH-2025-071</w:t>
      </w:r>
      <w:r>
        <w:br/>
      </w:r>
      <w:r>
        <w:br/>
      </w:r>
      <w:r>
        <w:br/>
      </w:r>
    </w:p>
    <w:p>
      <w:pPr>
        <w:pStyle w:val="null3"/>
        <w:jc w:val="center"/>
        <w:outlineLvl w:val="2"/>
      </w:pPr>
      <w:r>
        <w:rPr>
          <w:rFonts w:ascii="仿宋_GB2312" w:hAnsi="仿宋_GB2312" w:cs="仿宋_GB2312" w:eastAsia="仿宋_GB2312"/>
          <w:sz w:val="28"/>
          <w:b/>
        </w:rPr>
        <w:t>西安市临潼区住房和城乡建设局</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西安市临潼区住房和城乡建设局</w:t>
      </w:r>
      <w:r>
        <w:rPr>
          <w:rFonts w:ascii="仿宋_GB2312" w:hAnsi="仿宋_GB2312" w:cs="仿宋_GB2312" w:eastAsia="仿宋_GB2312"/>
        </w:rPr>
        <w:t>委托，拟对</w:t>
      </w:r>
      <w:r>
        <w:rPr>
          <w:rFonts w:ascii="仿宋_GB2312" w:hAnsi="仿宋_GB2312" w:cs="仿宋_GB2312" w:eastAsia="仿宋_GB2312"/>
        </w:rPr>
        <w:t>临潼主城区老旧基础设施提升改造项目勘察设计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SXZH-2025-071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临潼主城区老旧基础设施提升改造项目勘察设计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临潼主城区老旧基础设施提升改造，包括西大街（姜寨南路—南大街）、健康路（秦唐大道—西关正街）两条道路。本项目需对这两条道路进行如下改造：（1）市政道路雨、污分流：增加雨水管道，将现状合流管利用为污水管道，进行相应的雨、污分流改造，完善排水管网，以满足区域排水需求，降低城市内涝风险；（2）道路优化改造：根据现状道路情况，对现状路面进行修复，并对人行道破损路段进行恢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采购包1（临潼主城区老旧基础设施提升改造项目勘察设计）：属于专门面向中小企业采购。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具备建设主管部门颁发的工程设计综合甲级资质，或市政行业设计乙级及以上资质，或市政行业（燃气、轨道交通除外）乙级及以上资质，或市政行业(道路工程、排水工程)专业设计乙级及以上资质</w:t>
      </w:r>
    </w:p>
    <w:p>
      <w:pPr>
        <w:pStyle w:val="null3"/>
      </w:pPr>
      <w:r>
        <w:rPr>
          <w:rFonts w:ascii="仿宋_GB2312" w:hAnsi="仿宋_GB2312" w:cs="仿宋_GB2312" w:eastAsia="仿宋_GB2312"/>
        </w:rPr>
        <w:t>2、项目负责人资质：供应商拟派项目负责人须具备相关专业中级及以上职称，且在本单位注册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临潼区人民南路41号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宋建奇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13720510555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西安市雁塔区南二环东段22号（凯森盛世1号）B座2楼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029-89533929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代理服务费收费标准：1.采购代理服务费以成交价为基准价，按照发改价格〔2011〕534号文 件、〔2015〕299号文件收费标准计取。 由成交供应商支付采购代理服务费，成交供应商在领取《成交通知书》之前，应当向采购代理机构交纳全额采购代理服务费。 2、采购代理服务费可以采取现金、支票、银行汇票、电汇、网银等方式缴纳。 3、招标代理服务费缴纳信息： 银行户名：陕西筑辉工程咨询有限公司 开户银行：北京银行股份有限公司西安经济技术开发区支行 账 号：20000041418600030109571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西安市临潼区住房和城乡建设局</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（1）符合国家和地方现行的有关规范及本设计任务书中的相关要求。 （2）设计成果及深度按照《市政公用工程设计文件编制深度规定》最新版的要求。 （3）服务内容为本项目初步设计、施工图设计及施工阶段全程设计服务。 （4）尺寸应以公制单位标注。 （5）设计中间交流及设计成果中提交图纸的所有文字均应为中文简体。 （6）必须达到中华人民共和国的有关规范、规定及本项目设计合同规定的设计标准、设计深度、设计效果的要求。 （7）工作内容应满足甲方提出的设计合同、设计任务书及中间交流书面文件（传真等）的要求。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联系人：孙誉</w:t>
      </w:r>
    </w:p>
    <w:p>
      <w:pPr>
        <w:pStyle w:val="null3"/>
      </w:pPr>
      <w:r>
        <w:rPr>
          <w:rFonts w:ascii="仿宋_GB2312" w:hAnsi="仿宋_GB2312" w:cs="仿宋_GB2312" w:eastAsia="仿宋_GB2312"/>
        </w:rPr>
        <w:t>联系电话：029-89533929</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临潼主城区老旧基础设施提升改造，包括西大街（姜寨南路—南大街）、健康路（秦唐大道—西关正街）两条道路。本项目需对这两条道路进行如下改造：（1）市政道路雨、污分流：增加雨水管道，将现状合流管利用为污水管道，进行相应的雨、污分流改造，完善排水管网，以满足区域排水需求，降低城市内涝风险；（2）道路优化改造：根据现状道路情况，对现状路面进行修复，并对人行道破损路段进行恢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临潼主城区老旧基础设施提升改造项目勘察设计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标的名称：临潼主城区老旧基础设施提升改造项目勘察设计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18"/>
              </w:rPr>
              <w:t>一、项目概况</w:t>
            </w:r>
          </w:p>
          <w:p>
            <w:pPr>
              <w:pStyle w:val="null3"/>
              <w:ind w:left="-420" w:firstLine="484"/>
              <w:jc w:val="both"/>
            </w:pPr>
            <w:r>
              <w:rPr>
                <w:rFonts w:ascii="仿宋_GB2312" w:hAnsi="仿宋_GB2312" w:cs="仿宋_GB2312" w:eastAsia="仿宋_GB2312"/>
                <w:sz w:val="18"/>
              </w:rPr>
              <w:t>1.1项目名称：临潼主城区老旧基础设施提升改造项目</w:t>
            </w:r>
          </w:p>
          <w:p>
            <w:pPr>
              <w:pStyle w:val="null3"/>
              <w:ind w:left="-420" w:firstLine="484"/>
              <w:jc w:val="both"/>
            </w:pPr>
            <w:r>
              <w:rPr>
                <w:rFonts w:ascii="仿宋_GB2312" w:hAnsi="仿宋_GB2312" w:cs="仿宋_GB2312" w:eastAsia="仿宋_GB2312"/>
                <w:sz w:val="18"/>
              </w:rPr>
              <w:t>1.2项目地点：西安市临潼主城区</w:t>
            </w:r>
          </w:p>
          <w:p>
            <w:pPr>
              <w:pStyle w:val="null3"/>
              <w:ind w:left="-420" w:firstLine="484"/>
              <w:jc w:val="both"/>
            </w:pPr>
            <w:r>
              <w:rPr>
                <w:rFonts w:ascii="仿宋_GB2312" w:hAnsi="仿宋_GB2312" w:cs="仿宋_GB2312" w:eastAsia="仿宋_GB2312"/>
                <w:sz w:val="18"/>
              </w:rPr>
              <w:t>1.3建设单位：西安市临潼区住房和城乡建设局</w:t>
            </w:r>
          </w:p>
          <w:p>
            <w:pPr>
              <w:pStyle w:val="null3"/>
              <w:ind w:left="-420" w:firstLine="484"/>
              <w:jc w:val="both"/>
            </w:pPr>
            <w:r>
              <w:rPr>
                <w:rFonts w:ascii="仿宋_GB2312" w:hAnsi="仿宋_GB2312" w:cs="仿宋_GB2312" w:eastAsia="仿宋_GB2312"/>
                <w:sz w:val="18"/>
              </w:rPr>
              <w:t>1.4项目概况：</w:t>
            </w:r>
          </w:p>
          <w:p>
            <w:pPr>
              <w:pStyle w:val="null3"/>
              <w:ind w:firstLine="200"/>
              <w:jc w:val="both"/>
            </w:pPr>
            <w:r>
              <w:rPr>
                <w:rFonts w:ascii="仿宋_GB2312" w:hAnsi="仿宋_GB2312" w:cs="仿宋_GB2312" w:eastAsia="仿宋_GB2312"/>
                <w:sz w:val="18"/>
              </w:rPr>
              <w:t>本项目为临潼主城区老旧基础设施提升改造，包括西大街（姜寨南路—南大街）、健康路（秦唐大道—西关正街）两条道路。本项目需对这两条道路进行如下改造：（1）市政道路雨、污分流：增加雨水管道，将现状合流管利用为污水管道，进行相应的雨、污分流改造，完善排水管网，以满足区域排水需求，降低城市内涝风险；（2）道路优化改造：根据现状道路情况，对现状路面进行修复，并对人行道破损路段进行恢复；</w:t>
            </w:r>
          </w:p>
          <w:p>
            <w:pPr>
              <w:pStyle w:val="null3"/>
              <w:ind w:left="-420"/>
              <w:jc w:val="both"/>
            </w:pPr>
            <w:r>
              <w:rPr>
                <w:rFonts w:ascii="仿宋_GB2312" w:hAnsi="仿宋_GB2312" w:cs="仿宋_GB2312" w:eastAsia="仿宋_GB2312"/>
                <w:sz w:val="18"/>
              </w:rPr>
              <w:t>二、设计目标与原则</w:t>
            </w:r>
          </w:p>
          <w:p>
            <w:pPr>
              <w:pStyle w:val="null3"/>
              <w:ind w:left="-420" w:firstLine="484"/>
              <w:jc w:val="both"/>
            </w:pPr>
            <w:r>
              <w:rPr>
                <w:rFonts w:ascii="仿宋_GB2312" w:hAnsi="仿宋_GB2312" w:cs="仿宋_GB2312" w:eastAsia="仿宋_GB2312"/>
                <w:sz w:val="18"/>
              </w:rPr>
              <w:t>2.1设计目标：</w:t>
            </w:r>
          </w:p>
          <w:p>
            <w:pPr>
              <w:pStyle w:val="null3"/>
              <w:ind w:left="-420" w:firstLine="484"/>
              <w:jc w:val="both"/>
            </w:pPr>
            <w:r>
              <w:rPr>
                <w:rFonts w:ascii="仿宋_GB2312" w:hAnsi="仿宋_GB2312" w:cs="仿宋_GB2312" w:eastAsia="仿宋_GB2312"/>
                <w:sz w:val="18"/>
              </w:rPr>
              <w:t>本项目为临潼主城区老旧基础设施提升改造，项目旨在实现主城区老旧道路雨、污分流，提升道路路面结构，完善区域排水管网，提高排水能力，以降低区域内涝风险，改善居民出行环境，提升老旧基础设施。</w:t>
            </w:r>
          </w:p>
          <w:p>
            <w:pPr>
              <w:pStyle w:val="null3"/>
              <w:ind w:left="-420" w:firstLine="484"/>
              <w:jc w:val="both"/>
            </w:pPr>
            <w:r>
              <w:rPr>
                <w:rFonts w:ascii="仿宋_GB2312" w:hAnsi="仿宋_GB2312" w:cs="仿宋_GB2312" w:eastAsia="仿宋_GB2312"/>
                <w:sz w:val="18"/>
              </w:rPr>
              <w:t>2.2设计原则：</w:t>
            </w:r>
          </w:p>
          <w:p>
            <w:pPr>
              <w:pStyle w:val="null3"/>
              <w:ind w:left="-420" w:firstLine="484"/>
              <w:jc w:val="both"/>
            </w:pPr>
            <w:r>
              <w:rPr>
                <w:rFonts w:ascii="仿宋_GB2312" w:hAnsi="仿宋_GB2312" w:cs="仿宋_GB2312" w:eastAsia="仿宋_GB2312"/>
                <w:sz w:val="18"/>
              </w:rPr>
              <w:t>1.满足功能的需求（最终以合同约定为准）；</w:t>
            </w:r>
          </w:p>
          <w:p>
            <w:pPr>
              <w:pStyle w:val="null3"/>
              <w:ind w:left="-420" w:firstLine="484"/>
              <w:jc w:val="both"/>
            </w:pPr>
            <w:r>
              <w:rPr>
                <w:rFonts w:ascii="仿宋_GB2312" w:hAnsi="仿宋_GB2312" w:cs="仿宋_GB2312" w:eastAsia="仿宋_GB2312"/>
                <w:sz w:val="18"/>
              </w:rPr>
              <w:t>2.满足本项目改造后使用条件优于改造前的要求；</w:t>
            </w:r>
          </w:p>
          <w:p>
            <w:pPr>
              <w:pStyle w:val="null3"/>
              <w:ind w:left="-420" w:firstLine="484"/>
              <w:jc w:val="both"/>
            </w:pPr>
            <w:r>
              <w:rPr>
                <w:rFonts w:ascii="仿宋_GB2312" w:hAnsi="仿宋_GB2312" w:cs="仿宋_GB2312" w:eastAsia="仿宋_GB2312"/>
                <w:sz w:val="18"/>
              </w:rPr>
              <w:t>3.采用合理的技术措施；</w:t>
            </w:r>
          </w:p>
          <w:p>
            <w:pPr>
              <w:pStyle w:val="null3"/>
              <w:ind w:left="-420" w:firstLine="484"/>
              <w:jc w:val="both"/>
            </w:pPr>
            <w:r>
              <w:rPr>
                <w:rFonts w:ascii="仿宋_GB2312" w:hAnsi="仿宋_GB2312" w:cs="仿宋_GB2312" w:eastAsia="仿宋_GB2312"/>
                <w:sz w:val="18"/>
              </w:rPr>
              <w:t>4.提供在投资计划所允许的经济范畴之内运作的可能性。</w:t>
            </w:r>
          </w:p>
          <w:p>
            <w:pPr>
              <w:pStyle w:val="null3"/>
              <w:ind w:left="-420"/>
              <w:jc w:val="both"/>
            </w:pPr>
            <w:r>
              <w:rPr>
                <w:rFonts w:ascii="仿宋_GB2312" w:hAnsi="仿宋_GB2312" w:cs="仿宋_GB2312" w:eastAsia="仿宋_GB2312"/>
                <w:sz w:val="18"/>
              </w:rPr>
              <w:t>三、建设内容与设计标准</w:t>
            </w:r>
          </w:p>
          <w:p>
            <w:pPr>
              <w:pStyle w:val="null3"/>
              <w:ind w:left="-420" w:firstLine="484"/>
              <w:jc w:val="both"/>
            </w:pPr>
            <w:r>
              <w:rPr>
                <w:rFonts w:ascii="仿宋_GB2312" w:hAnsi="仿宋_GB2312" w:cs="仿宋_GB2312" w:eastAsia="仿宋_GB2312"/>
                <w:sz w:val="18"/>
              </w:rPr>
              <w:t>3.1建设内容：</w:t>
            </w:r>
          </w:p>
          <w:p>
            <w:pPr>
              <w:pStyle w:val="null3"/>
              <w:ind w:firstLine="200"/>
              <w:jc w:val="both"/>
            </w:pPr>
            <w:r>
              <w:rPr>
                <w:rFonts w:ascii="仿宋_GB2312" w:hAnsi="仿宋_GB2312" w:cs="仿宋_GB2312" w:eastAsia="仿宋_GB2312"/>
                <w:sz w:val="18"/>
              </w:rPr>
              <w:t>新建雨水管道520m（不含预埋管及雨水口连接管），管径di400mm～d1000mm，新建车行道2028㎡，现状车行道铣刨重铺8063㎡，人行道翻建163㎡，新建人行道1208㎡。其中管径小于d800mm的采用聚丙烯缠绕结构壁管，管径大于等于d800mm的采用钢筋混凝土管。同时对现状合流管道进行清淤。</w:t>
            </w:r>
          </w:p>
          <w:p>
            <w:pPr>
              <w:pStyle w:val="null3"/>
              <w:ind w:left="-420" w:firstLine="484"/>
              <w:jc w:val="both"/>
            </w:pPr>
            <w:r>
              <w:rPr>
                <w:rFonts w:ascii="仿宋_GB2312" w:hAnsi="仿宋_GB2312" w:cs="仿宋_GB2312" w:eastAsia="仿宋_GB2312"/>
                <w:sz w:val="18"/>
              </w:rPr>
              <w:t>3.2设计标准：</w:t>
            </w:r>
          </w:p>
          <w:p>
            <w:pPr>
              <w:pStyle w:val="null3"/>
              <w:ind w:firstLine="20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符合国家和地方现行的有关规范及本设计任务书中的相关要求。</w:t>
            </w:r>
          </w:p>
          <w:p>
            <w:pPr>
              <w:pStyle w:val="null3"/>
              <w:ind w:firstLine="200"/>
              <w:jc w:val="both"/>
            </w:pPr>
            <w:r>
              <w:rPr>
                <w:rFonts w:ascii="仿宋_GB2312" w:hAnsi="仿宋_GB2312" w:cs="仿宋_GB2312" w:eastAsia="仿宋_GB2312"/>
                <w:sz w:val="18"/>
              </w:rPr>
              <w:t>（2）</w:t>
            </w:r>
            <w:r>
              <w:rPr>
                <w:rFonts w:ascii="仿宋_GB2312" w:hAnsi="仿宋_GB2312" w:cs="仿宋_GB2312" w:eastAsia="仿宋_GB2312"/>
                <w:sz w:val="18"/>
              </w:rPr>
              <w:t>设计成果及深度按照《</w:t>
            </w:r>
            <w:r>
              <w:rPr>
                <w:rFonts w:ascii="仿宋_GB2312" w:hAnsi="仿宋_GB2312" w:cs="仿宋_GB2312" w:eastAsia="仿宋_GB2312"/>
                <w:sz w:val="18"/>
              </w:rPr>
              <w:t>市政公用</w:t>
            </w:r>
            <w:r>
              <w:rPr>
                <w:rFonts w:ascii="仿宋_GB2312" w:hAnsi="仿宋_GB2312" w:cs="仿宋_GB2312" w:eastAsia="仿宋_GB2312"/>
                <w:sz w:val="18"/>
              </w:rPr>
              <w:t>工程设计文件编制深度规定》</w:t>
            </w:r>
            <w:r>
              <w:rPr>
                <w:rFonts w:ascii="仿宋_GB2312" w:hAnsi="仿宋_GB2312" w:cs="仿宋_GB2312" w:eastAsia="仿宋_GB2312"/>
                <w:sz w:val="18"/>
              </w:rPr>
              <w:t>最新版</w:t>
            </w:r>
            <w:r>
              <w:rPr>
                <w:rFonts w:ascii="仿宋_GB2312" w:hAnsi="仿宋_GB2312" w:cs="仿宋_GB2312" w:eastAsia="仿宋_GB2312"/>
                <w:sz w:val="18"/>
              </w:rPr>
              <w:t>的要求</w:t>
            </w:r>
            <w:r>
              <w:rPr>
                <w:rFonts w:ascii="仿宋_GB2312" w:hAnsi="仿宋_GB2312" w:cs="仿宋_GB2312" w:eastAsia="仿宋_GB2312"/>
                <w:sz w:val="18"/>
              </w:rPr>
              <w:t>。</w:t>
            </w:r>
          </w:p>
          <w:p>
            <w:pPr>
              <w:pStyle w:val="null3"/>
              <w:ind w:firstLine="20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）服务内容为本项目</w:t>
            </w:r>
            <w:r>
              <w:rPr>
                <w:rFonts w:ascii="仿宋_GB2312" w:hAnsi="仿宋_GB2312" w:cs="仿宋_GB2312" w:eastAsia="仿宋_GB2312"/>
                <w:sz w:val="18"/>
              </w:rPr>
              <w:t>初步设计、</w:t>
            </w:r>
            <w:r>
              <w:rPr>
                <w:rFonts w:ascii="仿宋_GB2312" w:hAnsi="仿宋_GB2312" w:cs="仿宋_GB2312" w:eastAsia="仿宋_GB2312"/>
                <w:sz w:val="18"/>
              </w:rPr>
              <w:t>施工图设计及施工阶段全程设计服务。</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尺寸应以公制单位标注。</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设计中间交流及设计成果中提交图纸的所有文字均应为中文简体。</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必须达到中华人民共和国的有关规范、规定及本项目设计合同规定的设计标准、设计深度、设计效果的要求。</w:t>
            </w:r>
          </w:p>
          <w:p>
            <w:pPr>
              <w:pStyle w:val="null3"/>
              <w:ind w:firstLine="480"/>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工作内容应满足甲方提出的设计合同、设计任务书及中间交流书面文件（传真等）的要求。</w:t>
            </w:r>
          </w:p>
          <w:p>
            <w:pPr>
              <w:pStyle w:val="null3"/>
              <w:ind w:left="-420"/>
              <w:jc w:val="both"/>
            </w:pPr>
            <w:r>
              <w:rPr>
                <w:rFonts w:ascii="仿宋_GB2312" w:hAnsi="仿宋_GB2312" w:cs="仿宋_GB2312" w:eastAsia="仿宋_GB2312"/>
                <w:sz w:val="18"/>
              </w:rPr>
              <w:t>四、预算编制要求</w:t>
            </w:r>
          </w:p>
          <w:p>
            <w:pPr>
              <w:pStyle w:val="null3"/>
              <w:ind w:left="-420" w:firstLine="484"/>
              <w:jc w:val="both"/>
            </w:pPr>
            <w:r>
              <w:rPr>
                <w:rFonts w:ascii="仿宋_GB2312" w:hAnsi="仿宋_GB2312" w:cs="仿宋_GB2312" w:eastAsia="仿宋_GB2312"/>
                <w:sz w:val="18"/>
              </w:rPr>
              <w:t>4.1工程量清单编制及最高限价编制。</w:t>
            </w:r>
          </w:p>
          <w:p>
            <w:pPr>
              <w:pStyle w:val="null3"/>
              <w:ind w:left="-420" w:firstLine="484"/>
              <w:jc w:val="both"/>
            </w:pPr>
            <w:r>
              <w:rPr>
                <w:rFonts w:ascii="仿宋_GB2312" w:hAnsi="仿宋_GB2312" w:cs="仿宋_GB2312" w:eastAsia="仿宋_GB2312"/>
                <w:sz w:val="18"/>
              </w:rPr>
              <w:t>4.2严格按照国家法律法规客观公正、实事求是、依法服务，并自觉接受使用单位的分工、组织、协调、指导、监督和管理，不得将委托事项转包、分包给任何第三方实施完成。</w:t>
            </w:r>
          </w:p>
          <w:p>
            <w:pPr>
              <w:pStyle w:val="null3"/>
              <w:ind w:left="-420" w:firstLine="484"/>
              <w:jc w:val="both"/>
            </w:pPr>
            <w:r>
              <w:rPr>
                <w:rFonts w:ascii="仿宋_GB2312" w:hAnsi="仿宋_GB2312" w:cs="仿宋_GB2312" w:eastAsia="仿宋_GB2312"/>
                <w:sz w:val="18"/>
              </w:rPr>
              <w:t>4.3接到使用单位委托项目通知，必须按约定时间及时与使用单位联系，接收项目相关资料，并安排相应工作。</w:t>
            </w:r>
          </w:p>
          <w:p>
            <w:pPr>
              <w:pStyle w:val="null3"/>
              <w:ind w:left="-420" w:firstLine="484"/>
              <w:jc w:val="both"/>
            </w:pPr>
            <w:r>
              <w:rPr>
                <w:rFonts w:ascii="仿宋_GB2312" w:hAnsi="仿宋_GB2312" w:cs="仿宋_GB2312" w:eastAsia="仿宋_GB2312"/>
                <w:sz w:val="18"/>
              </w:rPr>
              <w:t>4.4项目服务过程中，严格遵守工作要求、工作纪律，如有违反，采取一票否决制，不再聘用。</w:t>
            </w:r>
          </w:p>
          <w:p>
            <w:pPr>
              <w:pStyle w:val="null3"/>
              <w:ind w:left="-420" w:firstLine="484"/>
              <w:jc w:val="both"/>
            </w:pPr>
            <w:r>
              <w:rPr>
                <w:rFonts w:ascii="仿宋_GB2312" w:hAnsi="仿宋_GB2312" w:cs="仿宋_GB2312" w:eastAsia="仿宋_GB2312"/>
                <w:sz w:val="18"/>
              </w:rPr>
              <w:t>4.5对项目服务结果的真实性、准确性和合法性负责，如因质量问题、廉政问题而引起不良后果，负责解释、答疑和澄清，并承担相应法律责任。</w:t>
            </w:r>
          </w:p>
          <w:p>
            <w:pPr>
              <w:pStyle w:val="null3"/>
              <w:ind w:left="-420" w:firstLine="484"/>
              <w:jc w:val="both"/>
            </w:pPr>
            <w:r>
              <w:rPr>
                <w:rFonts w:ascii="仿宋_GB2312" w:hAnsi="仿宋_GB2312" w:cs="仿宋_GB2312" w:eastAsia="仿宋_GB2312"/>
                <w:sz w:val="18"/>
              </w:rPr>
              <w:t>4.6项目服务完成后，按使用单位要求出具相关报告并对相关资料进行收集、整理、装订成册，交付采购人归档保存。</w:t>
            </w:r>
          </w:p>
          <w:p>
            <w:pPr>
              <w:pStyle w:val="null3"/>
              <w:ind w:left="-420" w:firstLine="484"/>
              <w:jc w:val="both"/>
            </w:pPr>
            <w:r>
              <w:rPr>
                <w:rFonts w:ascii="仿宋_GB2312" w:hAnsi="仿宋_GB2312" w:cs="仿宋_GB2312" w:eastAsia="仿宋_GB2312"/>
                <w:sz w:val="18"/>
              </w:rPr>
              <w:t>4.7项目服务期间，社会中介机构及其派出人员不得从事与聘用项目服务事项无关的活动，不得将与项目服务事项有关各方提供的各类资料及其报告和结果，用于与服务事项无关的目的。</w:t>
            </w:r>
          </w:p>
          <w:p>
            <w:pPr>
              <w:pStyle w:val="null3"/>
              <w:numPr>
                <w:ilvl w:val="0"/>
                <w:numId w:val="1"/>
              </w:numPr>
              <w:jc w:val="both"/>
            </w:pPr>
            <w:r>
              <w:rPr>
                <w:rFonts w:ascii="仿宋_GB2312" w:hAnsi="仿宋_GB2312" w:cs="仿宋_GB2312" w:eastAsia="仿宋_GB2312"/>
                <w:sz w:val="18"/>
              </w:rPr>
              <w:t>时间计划</w:t>
            </w:r>
          </w:p>
          <w:p>
            <w:pPr>
              <w:pStyle w:val="null3"/>
              <w:ind w:left="-420" w:firstLine="484"/>
              <w:jc w:val="both"/>
            </w:pPr>
            <w:r>
              <w:rPr>
                <w:rFonts w:ascii="仿宋_GB2312" w:hAnsi="仿宋_GB2312" w:cs="仿宋_GB2312" w:eastAsia="仿宋_GB2312"/>
                <w:sz w:val="18"/>
              </w:rPr>
              <w:t>5.1设计周期：</w:t>
            </w:r>
          </w:p>
          <w:p>
            <w:pPr>
              <w:pStyle w:val="null3"/>
              <w:ind w:left="-420" w:firstLine="484"/>
              <w:jc w:val="both"/>
            </w:pPr>
            <w:r>
              <w:rPr>
                <w:rFonts w:ascii="仿宋_GB2312" w:hAnsi="仿宋_GB2312" w:cs="仿宋_GB2312" w:eastAsia="仿宋_GB2312"/>
                <w:sz w:val="18"/>
              </w:rPr>
              <w:t>自合同签订之日起15日历天内。</w:t>
            </w:r>
          </w:p>
          <w:p>
            <w:pPr>
              <w:pStyle w:val="null3"/>
              <w:ind w:firstLine="480"/>
              <w:jc w:val="both"/>
            </w:pPr>
            <w:r>
              <w:rPr>
                <w:rFonts w:ascii="仿宋_GB2312" w:hAnsi="仿宋_GB2312" w:cs="仿宋_GB2312" w:eastAsia="仿宋_GB2312"/>
                <w:sz w:val="18"/>
              </w:rPr>
              <w:t>5.2预算编制周期：</w:t>
            </w:r>
          </w:p>
          <w:p>
            <w:pPr>
              <w:pStyle w:val="null3"/>
              <w:ind w:left="-420" w:firstLine="484"/>
              <w:jc w:val="both"/>
            </w:pPr>
            <w:r>
              <w:rPr>
                <w:rFonts w:ascii="仿宋_GB2312" w:hAnsi="仿宋_GB2312" w:cs="仿宋_GB2312" w:eastAsia="仿宋_GB2312"/>
                <w:sz w:val="18"/>
              </w:rPr>
              <w:t>自合同签订之日起15日历天内。</w:t>
            </w:r>
          </w:p>
          <w:p>
            <w:pPr>
              <w:pStyle w:val="null3"/>
              <w:numPr>
                <w:ilvl w:val="0"/>
                <w:numId w:val="1"/>
              </w:numPr>
              <w:jc w:val="both"/>
            </w:pPr>
            <w:r>
              <w:rPr>
                <w:rFonts w:ascii="仿宋_GB2312" w:hAnsi="仿宋_GB2312" w:cs="仿宋_GB2312" w:eastAsia="仿宋_GB2312"/>
                <w:sz w:val="18"/>
              </w:rPr>
              <w:t>付款方式</w:t>
            </w:r>
          </w:p>
          <w:p>
            <w:pPr>
              <w:pStyle w:val="null3"/>
              <w:ind w:left="-420" w:firstLine="484"/>
              <w:jc w:val="both"/>
            </w:pPr>
            <w:r>
              <w:rPr>
                <w:rFonts w:ascii="仿宋_GB2312" w:hAnsi="仿宋_GB2312" w:cs="仿宋_GB2312" w:eastAsia="仿宋_GB2312"/>
                <w:sz w:val="18"/>
              </w:rPr>
              <w:t>6.1设计付款方式：</w:t>
            </w:r>
          </w:p>
          <w:p>
            <w:pPr>
              <w:pStyle w:val="null3"/>
              <w:ind w:left="-420" w:firstLine="484"/>
              <w:jc w:val="both"/>
            </w:pPr>
            <w:r>
              <w:rPr>
                <w:rFonts w:ascii="仿宋_GB2312" w:hAnsi="仿宋_GB2312" w:cs="仿宋_GB2312" w:eastAsia="仿宋_GB2312"/>
                <w:sz w:val="18"/>
              </w:rPr>
              <w:t>付款条件（进度和方式）：乙方完成初步设计图纸并交付甲方后，达到付款条件起10日内， 支付合同总金额的40%；乙方完成施工图设计文件交付甲方并通过评审后，达到付款条件起10日内，支付合同总金额的40%；待工程竣工验收合格后，达到付款条件起10日内，支付合同总金额。</w:t>
            </w:r>
          </w:p>
          <w:p>
            <w:pPr>
              <w:pStyle w:val="null3"/>
              <w:jc w:val="both"/>
            </w:pPr>
            <w:r>
              <w:rPr>
                <w:rFonts w:ascii="仿宋_GB2312" w:hAnsi="仿宋_GB2312" w:cs="仿宋_GB2312" w:eastAsia="仿宋_GB2312"/>
                <w:sz w:val="18"/>
              </w:rPr>
              <w:t>6.2预算编制付款方式：成果文件交付甲方后，一次性付清。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按磋商文件要求自行配置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按磋商文件要求自行配置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（1）符合国家和地方现行的有关规范及本设计任务书中的相关要求。 （2）设计成果及深度按照《市政公用工程设计文件编制深度规定》最新版的要求。 （3）服务内容为本项目初步设计、施工图设计及施工阶段全程设计服务。 （4）尺寸应以公制单位标注。 （5）设计中间交流及设计成果中提交图纸的所有文字均应为中文简体。 （6）必须达到中华人民共和国的有关规范、规定及本项目设计合同规定的设计标准、设计深度、设计效果的要求。 （7）工作内容应满足甲方提出的设计合同、设计任务书及中间交流书面文件（传真等）的要求。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乙方完成初步设计图纸并交付甲方后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乙方完成施工图设计文件交付甲方并通过评审后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待工程竣工验收合格后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3套及电子版响应文件1套（电子版提供U盘），且提供的响应文件必须与在陕西省政府采购综合管理平台的项目电子化交易系统中递交的电子响应文件内容一致，纸质版响应文件必须装订成册签字盖章，电子版响应文件为纸质版签字盖章后的扫描件。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供应商具备建设主管部门颁发的工程设计综合甲级资质，或市政行业设计乙级及以上资质，或市政行业（燃气、轨道交通除外）乙级及以上资质，或市政行业(道路工程、排水工程)专业设计乙级及以上资质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供应商拟派项目负责人须具备相关专业中级及以上职称，且在本单位注册</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项目理解及分析</w:t>
            </w:r>
          </w:p>
        </w:tc>
        <w:tc>
          <w:tcPr>
            <w:tcW w:type="dxa" w:w="2492"/>
          </w:tcPr>
          <w:p>
            <w:pPr>
              <w:pStyle w:val="null3"/>
            </w:pPr>
            <w:r>
              <w:rPr>
                <w:rFonts w:ascii="仿宋_GB2312" w:hAnsi="仿宋_GB2312" w:cs="仿宋_GB2312" w:eastAsia="仿宋_GB2312"/>
              </w:rPr>
              <w:t>供应商对本项目背景、服务内容、目标需求理解全面，分析到位；对本项目设计实施阶段的重点难点进行分析并提出解决思路。 1、理解全面、重点难点分析完整、解决思路合理，计(7-10]分； 2、理解较全面、重点难点分析较完整、解决思路基本合理，计(4-7]分； 3、理解不全面、重点难点分析不到位、解决思路不合理，计[1-4]分；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供应商针对本项目有完善的初步设计实施方案。 1、实施方案内容完善详实、相关措施科学合理、可行性强，计(10-15]分； 2、实施方案内容较完善、相关措施基本合理可行，计(5-10]分； 3、实施方案内容不缺项，但简单笼统，合理性可行性一般，计[1-5]分； 4、未提供的不计分。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保证措施及承诺1</w:t>
            </w:r>
          </w:p>
        </w:tc>
        <w:tc>
          <w:tcPr>
            <w:tcW w:type="dxa" w:w="2492"/>
          </w:tcPr>
          <w:p>
            <w:pPr>
              <w:pStyle w:val="null3"/>
            </w:pPr>
            <w:r>
              <w:rPr>
                <w:rFonts w:ascii="仿宋_GB2312" w:hAnsi="仿宋_GB2312" w:cs="仿宋_GB2312" w:eastAsia="仿宋_GB2312"/>
              </w:rPr>
              <w:t>针对本项目在设计论证、评审、审批工作中采取的保证措施及相应承诺。 1、思路清晰、内容全面、保证措施及相应承诺详细，完全符合本次采购需求，计(7-10]分； 2、思路、内容较完整，保证措施及相应承诺较详细，基本符合本次采购需求，计(4-7]分； 3、思路有偏差、保证措施及相应承诺简单，计[1-4]分； 4、未提供的不计分。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保证措施及承诺2</w:t>
            </w:r>
          </w:p>
        </w:tc>
        <w:tc>
          <w:tcPr>
            <w:tcW w:type="dxa" w:w="2492"/>
          </w:tcPr>
          <w:p>
            <w:pPr>
              <w:pStyle w:val="null3"/>
            </w:pPr>
            <w:r>
              <w:rPr>
                <w:rFonts w:ascii="仿宋_GB2312" w:hAnsi="仿宋_GB2312" w:cs="仿宋_GB2312" w:eastAsia="仿宋_GB2312"/>
              </w:rPr>
              <w:t>针对本项目的设计质量、造价控制、设计进度等方面的质量保证措施及承诺；1、思路清晰、内容全面、保证措施及相应承诺详细，完全符合本次采购需求，计(7-10]分； 2、思路、内容较完整，保证措施及相应承诺较详细，基本符合本次采购需求，计(4-7]分； 3、思路有偏差、保证措施及相应承诺简单，计[1-4]分； 4、未提供的不计分。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针对本项目实施过程中突发状况提出应急服务方案，能够保证项目顺利实施。 1、方案完善、切实可行，计(3-5]分；； 2、方案简单，可行性不足，计[1-3]分。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1、拟派项目负责人具备高级及以上技术职称（含高级技术职称）的计5分。 2、拟派项目负责人具备本科及以上的学历（含本科）的计5分，专科学历的计3分，其他情况不计分。 注：以拟派项目负责人相关证书及开标前6个月内供应商为其缴纳社保的证明材料为准，未提供或提供不全不计分。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设计人员配备</w:t>
            </w:r>
          </w:p>
        </w:tc>
        <w:tc>
          <w:tcPr>
            <w:tcW w:type="dxa" w:w="2492"/>
          </w:tcPr>
          <w:p>
            <w:pPr>
              <w:pStyle w:val="null3"/>
            </w:pPr>
            <w:r>
              <w:rPr>
                <w:rFonts w:ascii="仿宋_GB2312" w:hAnsi="仿宋_GB2312" w:cs="仿宋_GB2312" w:eastAsia="仿宋_GB2312"/>
              </w:rPr>
              <w:t>1、拟派设计团队专业设计人员各专业配备齐全，岗位职责明确计，每一项专业1分，最高5分。 设计团队专业设计人员中级以上职称，每一个中级及以上职称1分，最高5分。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设计团队保证</w:t>
            </w:r>
          </w:p>
        </w:tc>
        <w:tc>
          <w:tcPr>
            <w:tcW w:type="dxa" w:w="2492"/>
          </w:tcPr>
          <w:p>
            <w:pPr>
              <w:pStyle w:val="null3"/>
            </w:pPr>
            <w:r>
              <w:rPr>
                <w:rFonts w:ascii="仿宋_GB2312" w:hAnsi="仿宋_GB2312" w:cs="仿宋_GB2312" w:eastAsia="仿宋_GB2312"/>
              </w:rPr>
              <w:t>拟派设计团队所有成员全面参与本设计项目的承诺及具体保证措施。 1、承诺明确，保证措施完善、可行，计(3-5]分； 2、承诺基本明确，保证措施基本合理、可行，计[1-3]分；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提供2022年1月1日至今类似项目（以合同签订时间为准，提供合同复印件），提供一个合同代表一个业绩，每提供1份业绩得2分，满分10分。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 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