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CCFB7D">
      <w:pPr>
        <w:spacing w:line="360" w:lineRule="auto"/>
        <w:jc w:val="center"/>
        <w:outlineLvl w:val="1"/>
        <w:rPr>
          <w:rStyle w:val="9"/>
          <w:rFonts w:hint="eastAsia" w:ascii="宋体" w:hAnsi="宋体" w:eastAsia="宋体" w:cs="宋体"/>
          <w:sz w:val="44"/>
          <w:szCs w:val="44"/>
        </w:rPr>
      </w:pPr>
      <w:r>
        <w:rPr>
          <w:rStyle w:val="9"/>
          <w:rFonts w:hint="eastAsia" w:ascii="宋体" w:hAnsi="宋体" w:eastAsia="宋体" w:cs="宋体"/>
          <w:sz w:val="44"/>
          <w:szCs w:val="44"/>
        </w:rPr>
        <w:t>拟签订的合同</w:t>
      </w:r>
      <w:bookmarkStart w:id="0" w:name="_Hlt487972895"/>
      <w:bookmarkEnd w:id="0"/>
      <w:bookmarkStart w:id="1" w:name="_Toc216513788"/>
      <w:bookmarkStart w:id="2" w:name="_Toc487900382"/>
      <w:r>
        <w:rPr>
          <w:rStyle w:val="9"/>
          <w:rFonts w:hint="eastAsia" w:ascii="宋体" w:hAnsi="宋体" w:eastAsia="宋体" w:cs="宋体"/>
          <w:sz w:val="44"/>
          <w:szCs w:val="44"/>
        </w:rPr>
        <w:t>文本</w:t>
      </w:r>
    </w:p>
    <w:p w14:paraId="4E6C3FD0">
      <w:pPr>
        <w:spacing w:line="360" w:lineRule="auto"/>
        <w:jc w:val="center"/>
        <w:outlineLvl w:val="1"/>
        <w:rPr>
          <w:rStyle w:val="9"/>
          <w:rFonts w:hint="eastAsia" w:ascii="仿宋" w:hAnsi="仿宋" w:eastAsia="仿宋" w:cs="仿宋"/>
          <w:szCs w:val="32"/>
        </w:rPr>
      </w:pPr>
    </w:p>
    <w:bookmarkEnd w:id="1"/>
    <w:bookmarkEnd w:id="2"/>
    <w:p w14:paraId="320D2A13">
      <w:pPr>
        <w:keepNext w:val="0"/>
        <w:keepLines w:val="0"/>
        <w:pageBreakBefore w:val="0"/>
        <w:widowControl w:val="0"/>
        <w:tabs>
          <w:tab w:val="left" w:pos="735"/>
        </w:tabs>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bCs/>
          <w:sz w:val="24"/>
          <w:szCs w:val="24"/>
          <w:lang w:val="zh-CN"/>
        </w:rPr>
      </w:pPr>
      <w:r>
        <w:rPr>
          <w:rFonts w:hint="eastAsia" w:ascii="宋体" w:hAnsi="宋体" w:eastAsia="宋体" w:cs="宋体"/>
          <w:b/>
          <w:bCs/>
          <w:sz w:val="24"/>
          <w:szCs w:val="24"/>
        </w:rPr>
        <w:t>甲方：</w:t>
      </w:r>
      <w:r>
        <w:rPr>
          <w:rFonts w:hint="eastAsia" w:ascii="宋体" w:hAnsi="宋体" w:eastAsia="宋体" w:cs="宋体"/>
          <w:b/>
          <w:bCs/>
          <w:sz w:val="24"/>
          <w:szCs w:val="24"/>
          <w:u w:val="single"/>
          <w:lang w:val="en-US" w:eastAsia="zh-CN"/>
        </w:rPr>
        <w:t xml:space="preserve">          </w:t>
      </w:r>
      <w:r>
        <w:rPr>
          <w:rFonts w:hint="eastAsia" w:ascii="宋体" w:hAnsi="宋体" w:eastAsia="宋体" w:cs="宋体"/>
          <w:bCs/>
          <w:sz w:val="24"/>
          <w:szCs w:val="24"/>
          <w:lang w:val="zh-CN"/>
        </w:rPr>
        <w:t xml:space="preserve">（采购人）    </w:t>
      </w:r>
    </w:p>
    <w:p w14:paraId="0D9D996A">
      <w:pPr>
        <w:keepNext w:val="0"/>
        <w:keepLines w:val="0"/>
        <w:pageBreakBefore w:val="0"/>
        <w:widowControl w:val="0"/>
        <w:tabs>
          <w:tab w:val="left" w:pos="735"/>
        </w:tabs>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color w:val="FF0000"/>
          <w:sz w:val="24"/>
          <w:szCs w:val="24"/>
        </w:rPr>
      </w:pPr>
      <w:r>
        <w:rPr>
          <w:rFonts w:hint="eastAsia" w:ascii="宋体" w:hAnsi="宋体" w:eastAsia="宋体" w:cs="宋体"/>
          <w:b/>
          <w:bCs/>
          <w:sz w:val="24"/>
          <w:szCs w:val="24"/>
          <w:lang w:val="zh-CN"/>
        </w:rPr>
        <w:t>乙方：</w:t>
      </w:r>
      <w:r>
        <w:rPr>
          <w:rFonts w:hint="eastAsia" w:ascii="宋体" w:hAnsi="宋体" w:eastAsia="宋体" w:cs="宋体"/>
          <w:b/>
          <w:bCs/>
          <w:sz w:val="24"/>
          <w:szCs w:val="24"/>
          <w:u w:val="single"/>
          <w:lang w:val="en-US" w:eastAsia="zh-CN"/>
        </w:rPr>
        <w:t xml:space="preserve">          </w:t>
      </w:r>
      <w:r>
        <w:rPr>
          <w:rFonts w:hint="eastAsia" w:ascii="宋体" w:hAnsi="宋体" w:eastAsia="宋体" w:cs="宋体"/>
          <w:bCs/>
          <w:sz w:val="24"/>
          <w:szCs w:val="24"/>
          <w:lang w:val="zh-CN"/>
        </w:rPr>
        <w:t xml:space="preserve">（中标人）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p>
    <w:p w14:paraId="2C301238">
      <w:pPr>
        <w:keepNext w:val="0"/>
        <w:keepLines w:val="0"/>
        <w:pageBreakBefore w:val="0"/>
        <w:widowControl w:val="0"/>
        <w:kinsoku/>
        <w:wordWrap/>
        <w:overflowPunct/>
        <w:topLinePunct w:val="0"/>
        <w:bidi w:val="0"/>
        <w:spacing w:line="360" w:lineRule="auto"/>
        <w:ind w:firstLine="482" w:firstLineChars="200"/>
        <w:textAlignment w:val="auto"/>
        <w:rPr>
          <w:rFonts w:hint="eastAsia" w:ascii="宋体" w:hAnsi="宋体" w:eastAsia="宋体" w:cs="宋体"/>
          <w:sz w:val="24"/>
          <w:szCs w:val="24"/>
          <w:lang w:val="zh-CN"/>
        </w:rPr>
      </w:pPr>
      <w:r>
        <w:rPr>
          <w:rFonts w:hint="eastAsia" w:ascii="宋体" w:hAnsi="宋体" w:eastAsia="宋体" w:cs="宋体"/>
          <w:b/>
          <w:bCs/>
          <w:sz w:val="24"/>
          <w:szCs w:val="24"/>
          <w:lang w:val="zh-CN"/>
        </w:rPr>
        <w:t xml:space="preserve">一、合同内容: </w:t>
      </w:r>
      <w:r>
        <w:rPr>
          <w:rFonts w:hint="eastAsia" w:ascii="宋体" w:hAnsi="宋体" w:eastAsia="宋体" w:cs="宋体"/>
          <w:sz w:val="24"/>
          <w:szCs w:val="24"/>
          <w:lang w:val="zh-CN"/>
        </w:rPr>
        <w:t>（标的、数量、质量等）</w:t>
      </w:r>
    </w:p>
    <w:p w14:paraId="1E387E6A">
      <w:pPr>
        <w:keepNext w:val="0"/>
        <w:keepLines w:val="0"/>
        <w:pageBreakBefore w:val="0"/>
        <w:widowControl w:val="0"/>
        <w:kinsoku/>
        <w:wordWrap/>
        <w:overflowPunct/>
        <w:topLinePunct w:val="0"/>
        <w:bidi w:val="0"/>
        <w:spacing w:line="360" w:lineRule="auto"/>
        <w:ind w:firstLine="482" w:firstLineChars="200"/>
        <w:textAlignment w:val="auto"/>
        <w:rPr>
          <w:rFonts w:hint="eastAsia" w:ascii="宋体" w:hAnsi="宋体" w:eastAsia="宋体" w:cs="宋体"/>
          <w:b/>
          <w:bCs/>
          <w:sz w:val="24"/>
          <w:szCs w:val="24"/>
          <w:lang w:val="zh-CN"/>
        </w:rPr>
      </w:pPr>
      <w:r>
        <w:rPr>
          <w:rFonts w:hint="eastAsia" w:ascii="宋体" w:hAnsi="宋体" w:eastAsia="宋体" w:cs="宋体"/>
          <w:b/>
          <w:bCs/>
          <w:sz w:val="24"/>
          <w:szCs w:val="24"/>
          <w:lang w:val="zh-CN"/>
        </w:rPr>
        <w:t>二、合同价款</w:t>
      </w:r>
    </w:p>
    <w:p w14:paraId="2B795E09">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1、合同总价：人民币</w:t>
      </w:r>
      <w:r>
        <w:rPr>
          <w:rFonts w:hint="eastAsia" w:ascii="宋体" w:hAnsi="宋体" w:eastAsia="宋体" w:cs="宋体"/>
          <w:sz w:val="24"/>
          <w:szCs w:val="24"/>
          <w:u w:val="single"/>
        </w:rPr>
        <w:t xml:space="preserve">                  </w:t>
      </w:r>
      <w:r>
        <w:rPr>
          <w:rFonts w:hint="eastAsia" w:ascii="宋体" w:hAnsi="宋体" w:eastAsia="宋体" w:cs="宋体"/>
          <w:sz w:val="24"/>
          <w:szCs w:val="24"/>
        </w:rPr>
        <w:t>元整 （￥    元）。</w:t>
      </w:r>
    </w:p>
    <w:p w14:paraId="016BEB71">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2、合同总价包括：税费、培训费、产品费、运杂费及其它相关的费用。</w:t>
      </w:r>
    </w:p>
    <w:p w14:paraId="2674DF43">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3、合同单价一次包死，不受市场价变化的影响。最终付款总价以甲方实际使用数量为准。</w:t>
      </w:r>
    </w:p>
    <w:p w14:paraId="105FD56A">
      <w:pPr>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rPr>
        <w:t>三</w:t>
      </w:r>
      <w:r>
        <w:rPr>
          <w:rFonts w:hint="eastAsia" w:ascii="宋体" w:hAnsi="宋体" w:eastAsia="宋体" w:cs="宋体"/>
          <w:b/>
          <w:sz w:val="24"/>
          <w:szCs w:val="24"/>
          <w:highlight w:val="none"/>
        </w:rPr>
        <w:t>、合同结算</w:t>
      </w:r>
    </w:p>
    <w:p w14:paraId="66A21B2B">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1、付款方式：</w:t>
      </w:r>
      <w:bookmarkStart w:id="3" w:name="_Toc19515387"/>
      <w:r>
        <w:rPr>
          <w:rFonts w:hint="eastAsia" w:ascii="宋体" w:hAnsi="宋体" w:eastAsia="宋体" w:cs="宋体"/>
          <w:sz w:val="24"/>
          <w:szCs w:val="24"/>
          <w:highlight w:val="none"/>
        </w:rPr>
        <w:t>合同签订后3个工作日付30%，装机运行正常5个工作日后付40%，合同履行完30天后付30%。。</w:t>
      </w:r>
    </w:p>
    <w:p w14:paraId="36C7D818">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结算方式：银行转账。</w:t>
      </w:r>
    </w:p>
    <w:p w14:paraId="5A763BE3">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、结算单位：由</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甲方</w:t>
      </w:r>
      <w:r>
        <w:rPr>
          <w:rFonts w:hint="eastAsia" w:ascii="宋体" w:hAnsi="宋体" w:eastAsia="宋体" w:cs="宋体"/>
          <w:sz w:val="24"/>
          <w:szCs w:val="24"/>
          <w:u w:val="single"/>
        </w:rPr>
        <w:t xml:space="preserve"> </w:t>
      </w:r>
      <w:r>
        <w:rPr>
          <w:rFonts w:hint="eastAsia" w:ascii="宋体" w:hAnsi="宋体" w:eastAsia="宋体" w:cs="宋体"/>
          <w:sz w:val="24"/>
          <w:szCs w:val="24"/>
        </w:rPr>
        <w:t>负责结算，乙方开具合同总价数的全额发票交采购人。</w:t>
      </w:r>
    </w:p>
    <w:bookmarkEnd w:id="3"/>
    <w:p w14:paraId="750A71E6">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四、履行期限、</w:t>
      </w:r>
      <w:r>
        <w:rPr>
          <w:rFonts w:hint="eastAsia" w:ascii="宋体" w:hAnsi="宋体" w:eastAsia="宋体" w:cs="宋体"/>
          <w:b/>
          <w:sz w:val="24"/>
          <w:szCs w:val="24"/>
          <w:lang w:val="en-US" w:eastAsia="zh-CN"/>
        </w:rPr>
        <w:t>质保期</w:t>
      </w:r>
      <w:r>
        <w:rPr>
          <w:rFonts w:hint="eastAsia" w:ascii="宋体" w:hAnsi="宋体" w:eastAsia="宋体" w:cs="宋体"/>
          <w:b/>
          <w:sz w:val="24"/>
          <w:szCs w:val="24"/>
          <w:lang w:eastAsia="zh-CN"/>
        </w:rPr>
        <w:t>、</w:t>
      </w:r>
      <w:r>
        <w:rPr>
          <w:rFonts w:hint="eastAsia" w:ascii="宋体" w:hAnsi="宋体" w:eastAsia="宋体" w:cs="宋体"/>
          <w:b/>
          <w:sz w:val="24"/>
          <w:szCs w:val="24"/>
        </w:rPr>
        <w:t>地点及方式</w:t>
      </w:r>
    </w:p>
    <w:p w14:paraId="150A102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1、履行期限：自签订合同后5日内到货安装；</w:t>
      </w:r>
    </w:p>
    <w:p w14:paraId="75120CD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质保期：</w:t>
      </w:r>
      <w:r>
        <w:rPr>
          <w:rFonts w:hint="eastAsia" w:ascii="宋体" w:hAnsi="宋体" w:eastAsia="宋体" w:cs="宋体"/>
          <w:sz w:val="24"/>
          <w:szCs w:val="24"/>
          <w:highlight w:val="none"/>
          <w:lang w:val="en-US" w:eastAsia="zh-CN"/>
        </w:rPr>
        <w:t>（1）保修自安装之日起18月或限扫30000个病人先到为准。（2）自安装之日起，如在完全保证病人量/时间（先到为准）内出现无法使用的故障，乙方将免费为甲方更换新球管，直至乙方提供的全部球管累计病人量/时间达到完全保证病人量/时间为止。</w:t>
      </w:r>
    </w:p>
    <w:p w14:paraId="14FA087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交货地点：</w:t>
      </w:r>
      <w:r>
        <w:rPr>
          <w:rFonts w:hint="eastAsia" w:ascii="宋体" w:hAnsi="宋体" w:eastAsia="宋体" w:cs="宋体"/>
          <w:sz w:val="24"/>
          <w:szCs w:val="24"/>
          <w:highlight w:val="none"/>
          <w:lang w:val="en-US" w:eastAsia="zh-CN"/>
        </w:rPr>
        <w:t>甲方</w:t>
      </w:r>
      <w:r>
        <w:rPr>
          <w:rFonts w:hint="eastAsia" w:ascii="宋体" w:hAnsi="宋体" w:eastAsia="宋体" w:cs="宋体"/>
          <w:sz w:val="24"/>
          <w:szCs w:val="24"/>
          <w:highlight w:val="none"/>
          <w:lang w:eastAsia="zh-CN"/>
        </w:rPr>
        <w:t>指定地点</w:t>
      </w:r>
      <w:r>
        <w:rPr>
          <w:rFonts w:hint="eastAsia" w:ascii="宋体" w:hAnsi="宋体" w:eastAsia="宋体" w:cs="宋体"/>
          <w:sz w:val="24"/>
          <w:szCs w:val="24"/>
          <w:highlight w:val="none"/>
          <w:lang w:val="en-US" w:eastAsia="zh-CN"/>
        </w:rPr>
        <w:t>；</w:t>
      </w:r>
    </w:p>
    <w:p w14:paraId="6C63C69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4、方式：甲方指定方式；</w:t>
      </w:r>
    </w:p>
    <w:p w14:paraId="3AD8BA8D">
      <w:pPr>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五、质量要求：</w:t>
      </w:r>
      <w:r>
        <w:rPr>
          <w:rFonts w:hint="eastAsia" w:ascii="宋体" w:hAnsi="宋体" w:eastAsia="宋体" w:cs="宋体"/>
          <w:sz w:val="24"/>
          <w:szCs w:val="24"/>
        </w:rPr>
        <w:t>严格按国家颁发的管理规范及考核标准、达到合格标准。</w:t>
      </w:r>
    </w:p>
    <w:p w14:paraId="3173FE1A">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六、违约责任</w:t>
      </w:r>
    </w:p>
    <w:p w14:paraId="29B9451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1、按《</w:t>
      </w:r>
      <w:r>
        <w:rPr>
          <w:rFonts w:hint="eastAsia" w:ascii="宋体" w:hAnsi="宋体" w:eastAsia="宋体" w:cs="宋体"/>
          <w:sz w:val="24"/>
          <w:szCs w:val="24"/>
          <w:lang w:val="en-US" w:eastAsia="zh-CN"/>
        </w:rPr>
        <w:t>中华人民共和国</w:t>
      </w:r>
      <w:r>
        <w:rPr>
          <w:rFonts w:hint="eastAsia" w:ascii="宋体" w:hAnsi="宋体" w:eastAsia="宋体" w:cs="宋体"/>
          <w:sz w:val="24"/>
          <w:szCs w:val="24"/>
        </w:rPr>
        <w:t>民法典》中的相关条款执行。</w:t>
      </w:r>
    </w:p>
    <w:p w14:paraId="17B7E15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2、乙方履约延误</w:t>
      </w:r>
    </w:p>
    <w:p w14:paraId="6D931FC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2-1、如乙方事先未征得甲方同意并得到甲方的谅解而单方面延迟提供货物及配套服务，将按违约终止合同。</w:t>
      </w:r>
    </w:p>
    <w:p w14:paraId="5B46B3C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在履行合同过程中，乙方不能按时管理（除不可抗力及甲方同意的原因顺延外）或未按技术规范进行维护管理，经甲方通知而未在甲方指定时间整改，每延误一天，应按合同总价款的千分之五向甲方支付违约金，延误超过 5天的，甲方有权单方解除本合同，乙方应向甲方支付合同总价20%的违约金。</w:t>
      </w:r>
    </w:p>
    <w:p w14:paraId="383BFFB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2-3、乙方必须严格遵守养护管理规范，甲方根据考核办法对乙方进行考核，违反规定时扣除罚金，连续二个月考核不合格，甲方有权解除合同，并要求乙方赔偿甲方损失。</w:t>
      </w:r>
    </w:p>
    <w:p w14:paraId="2A02530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2-4、乙方违反本协议规定，造成损失、设施遭到破坏的，甲方将根据情节和造成的损失大小，给予乙方扣发费用，赔偿一切经济损失等处罚或者解除协议</w:t>
      </w:r>
    </w:p>
    <w:p w14:paraId="6E02CCC7">
      <w:pPr>
        <w:spacing w:line="360" w:lineRule="auto"/>
        <w:ind w:firstLine="482" w:firstLineChars="200"/>
        <w:rPr>
          <w:rFonts w:hint="eastAsia" w:ascii="宋体" w:hAnsi="宋体" w:eastAsia="宋体" w:cs="宋体"/>
          <w:b/>
          <w:bCs/>
          <w:sz w:val="24"/>
          <w:szCs w:val="24"/>
        </w:rPr>
      </w:pPr>
      <w:bookmarkStart w:id="4" w:name="_Toc19515391"/>
      <w:r>
        <w:rPr>
          <w:rFonts w:hint="eastAsia" w:ascii="宋体" w:hAnsi="宋体" w:eastAsia="宋体" w:cs="宋体"/>
          <w:b/>
          <w:bCs/>
          <w:sz w:val="24"/>
          <w:szCs w:val="24"/>
        </w:rPr>
        <w:t>七、验收</w:t>
      </w:r>
      <w:bookmarkEnd w:id="4"/>
    </w:p>
    <w:p w14:paraId="63A8E07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1、验收：乙方完成服务内容后，向甲方提出验收申请，甲方接到乙方验收申请后组织验收（必要时可聘请相应专家或委托相应部门验收），验收合格后，出具使用验收合格证明。</w:t>
      </w:r>
    </w:p>
    <w:p w14:paraId="3F13BA8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3、最终验收：最终验收结果作为付款依据，乙方填写验收单，并向甲方提交实施过程中的所有资料，以便甲方日后管理和维护。</w:t>
      </w:r>
    </w:p>
    <w:p w14:paraId="52E20FB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4、验收依据：</w:t>
      </w:r>
    </w:p>
    <w:p w14:paraId="5BA02E5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4-1、合同文本、合同附件、</w:t>
      </w:r>
      <w:r>
        <w:rPr>
          <w:rFonts w:hint="eastAsia" w:ascii="宋体" w:hAnsi="宋体" w:eastAsia="宋体" w:cs="宋体"/>
          <w:sz w:val="24"/>
          <w:szCs w:val="24"/>
          <w:lang w:val="en-US" w:eastAsia="zh-CN"/>
        </w:rPr>
        <w:t>单一来源</w:t>
      </w:r>
      <w:r>
        <w:rPr>
          <w:rFonts w:hint="eastAsia" w:ascii="宋体" w:hAnsi="宋体" w:eastAsia="宋体" w:cs="宋体"/>
          <w:sz w:val="24"/>
          <w:szCs w:val="24"/>
        </w:rPr>
        <w:t>文件、</w:t>
      </w:r>
      <w:r>
        <w:rPr>
          <w:rFonts w:hint="eastAsia" w:ascii="宋体" w:hAnsi="宋体" w:eastAsia="宋体" w:cs="宋体"/>
          <w:sz w:val="24"/>
          <w:szCs w:val="24"/>
          <w:lang w:val="en-US" w:eastAsia="zh-CN"/>
        </w:rPr>
        <w:t>单一来源响应</w:t>
      </w:r>
      <w:r>
        <w:rPr>
          <w:rFonts w:hint="eastAsia" w:ascii="宋体" w:hAnsi="宋体" w:eastAsia="宋体" w:cs="宋体"/>
          <w:sz w:val="24"/>
          <w:szCs w:val="24"/>
        </w:rPr>
        <w:t>文件。</w:t>
      </w:r>
    </w:p>
    <w:p w14:paraId="22DCA11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4-2、国内相应的标准、规范。</w:t>
      </w:r>
    </w:p>
    <w:p w14:paraId="6F688DF0">
      <w:pPr>
        <w:spacing w:line="360" w:lineRule="auto"/>
        <w:ind w:firstLine="482" w:firstLineChars="200"/>
        <w:rPr>
          <w:rFonts w:hint="eastAsia" w:ascii="宋体" w:hAnsi="宋体" w:eastAsia="宋体" w:cs="宋体"/>
          <w:b/>
          <w:bCs/>
          <w:sz w:val="24"/>
          <w:szCs w:val="24"/>
        </w:rPr>
      </w:pPr>
      <w:bookmarkStart w:id="5" w:name="_Toc19515393"/>
      <w:r>
        <w:rPr>
          <w:rFonts w:hint="eastAsia" w:ascii="宋体" w:hAnsi="宋体" w:eastAsia="宋体" w:cs="宋体"/>
          <w:b/>
          <w:bCs/>
          <w:sz w:val="24"/>
          <w:szCs w:val="24"/>
        </w:rPr>
        <w:t>八、合同组成</w:t>
      </w:r>
      <w:bookmarkEnd w:id="5"/>
    </w:p>
    <w:p w14:paraId="5C93C4D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成交</w:t>
      </w:r>
      <w:r>
        <w:rPr>
          <w:rFonts w:hint="eastAsia" w:ascii="宋体" w:hAnsi="宋体" w:eastAsia="宋体" w:cs="宋体"/>
          <w:sz w:val="24"/>
          <w:szCs w:val="24"/>
        </w:rPr>
        <w:t>通知书</w:t>
      </w:r>
    </w:p>
    <w:p w14:paraId="50278B2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2、合同文件</w:t>
      </w:r>
    </w:p>
    <w:p w14:paraId="46048DC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3、国家相关规范及标准</w:t>
      </w:r>
    </w:p>
    <w:p w14:paraId="363E691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lang w:val="en-US" w:eastAsia="zh-CN"/>
        </w:rPr>
        <w:t>单一来源</w:t>
      </w:r>
      <w:r>
        <w:rPr>
          <w:rFonts w:hint="eastAsia" w:ascii="宋体" w:hAnsi="宋体" w:eastAsia="宋体" w:cs="宋体"/>
          <w:sz w:val="24"/>
          <w:szCs w:val="24"/>
        </w:rPr>
        <w:t>文件</w:t>
      </w:r>
    </w:p>
    <w:p w14:paraId="4039AC0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lang w:val="en-US" w:eastAsia="zh-CN"/>
        </w:rPr>
        <w:t>单一来源响应</w:t>
      </w:r>
      <w:r>
        <w:rPr>
          <w:rFonts w:hint="eastAsia" w:ascii="宋体" w:hAnsi="宋体" w:eastAsia="宋体" w:cs="宋体"/>
          <w:sz w:val="24"/>
          <w:szCs w:val="24"/>
        </w:rPr>
        <w:t>文件</w:t>
      </w:r>
    </w:p>
    <w:p w14:paraId="4E1609E2">
      <w:pPr>
        <w:spacing w:line="360" w:lineRule="auto"/>
        <w:ind w:firstLine="482" w:firstLineChars="200"/>
        <w:rPr>
          <w:rFonts w:hint="eastAsia" w:ascii="宋体" w:hAnsi="宋体" w:eastAsia="宋体" w:cs="宋体"/>
          <w:b/>
          <w:bCs/>
          <w:sz w:val="24"/>
          <w:szCs w:val="24"/>
        </w:rPr>
      </w:pPr>
      <w:bookmarkStart w:id="6" w:name="_Toc19515394"/>
      <w:r>
        <w:rPr>
          <w:rFonts w:hint="eastAsia" w:ascii="宋体" w:hAnsi="宋体" w:eastAsia="宋体" w:cs="宋体"/>
          <w:b/>
          <w:bCs/>
          <w:sz w:val="24"/>
          <w:szCs w:val="24"/>
        </w:rPr>
        <w:t>九、解决争议的方法</w:t>
      </w:r>
      <w:bookmarkEnd w:id="6"/>
    </w:p>
    <w:p w14:paraId="60577B2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凡因本合同引起的或与本合同有关的争议，双方应友好协商解决。协商不成时，双方均同意采用以下第（  ）种争议解决方式：</w:t>
      </w:r>
    </w:p>
    <w:p w14:paraId="6AC90C0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（1）、甲、乙双方均同意向（甲方所在地人民法院）提起诉讼。</w:t>
      </w:r>
    </w:p>
    <w:p w14:paraId="5E10744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（2）、甲、乙双方均同意向（</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"http://www.baidu.com/s?wd=%E4%BB%B2%E8%A3%81%E5%A7%94%E5%91%98%E4%BC%9A&amp;tn=SE_PcZhidaonwhc_ngpagmjz&amp;rsv_dl=gh_pc_zhidao" \t "_blank" </w:instrText>
      </w:r>
      <w:r>
        <w:rPr>
          <w:rFonts w:hint="eastAsia" w:ascii="宋体" w:hAnsi="宋体" w:eastAsia="宋体" w:cs="宋体"/>
          <w:sz w:val="24"/>
          <w:szCs w:val="24"/>
        </w:rPr>
        <w:fldChar w:fldCharType="separate"/>
      </w:r>
      <w:r>
        <w:rPr>
          <w:rFonts w:hint="eastAsia" w:ascii="宋体" w:hAnsi="宋体" w:eastAsia="宋体" w:cs="宋体"/>
          <w:sz w:val="24"/>
          <w:szCs w:val="24"/>
        </w:rPr>
        <w:t>仲裁委</w:t>
      </w:r>
      <w:bookmarkStart w:id="8" w:name="_GoBack"/>
      <w:bookmarkEnd w:id="8"/>
      <w:r>
        <w:rPr>
          <w:rFonts w:hint="eastAsia" w:ascii="宋体" w:hAnsi="宋体" w:eastAsia="宋体" w:cs="宋体"/>
          <w:sz w:val="24"/>
          <w:szCs w:val="24"/>
        </w:rPr>
        <w:t>员会</w:t>
      </w:r>
      <w:r>
        <w:rPr>
          <w:rFonts w:hint="eastAsia" w:ascii="宋体" w:hAnsi="宋体" w:eastAsia="宋体" w:cs="宋体"/>
          <w:sz w:val="24"/>
          <w:szCs w:val="24"/>
        </w:rPr>
        <w:fldChar w:fldCharType="end"/>
      </w:r>
      <w:r>
        <w:rPr>
          <w:rFonts w:hint="eastAsia" w:ascii="宋体" w:hAnsi="宋体" w:eastAsia="宋体" w:cs="宋体"/>
          <w:sz w:val="24"/>
          <w:szCs w:val="24"/>
        </w:rPr>
        <w:t>）提起仲裁。</w:t>
      </w:r>
    </w:p>
    <w:p w14:paraId="2247E892">
      <w:pPr>
        <w:spacing w:line="360" w:lineRule="auto"/>
        <w:ind w:firstLine="480" w:firstLineChars="200"/>
        <w:rPr>
          <w:rFonts w:hint="eastAsia" w:ascii="宋体" w:hAnsi="宋体" w:eastAsia="宋体" w:cs="宋体"/>
          <w:sz w:val="24"/>
          <w:szCs w:val="24"/>
        </w:rPr>
      </w:pPr>
      <w:bookmarkStart w:id="7" w:name="_Toc19515395"/>
      <w:r>
        <w:rPr>
          <w:rFonts w:hint="eastAsia" w:ascii="宋体" w:hAnsi="宋体" w:eastAsia="宋体" w:cs="宋体"/>
          <w:sz w:val="24"/>
          <w:szCs w:val="24"/>
        </w:rPr>
        <w:t>十、合同生效及其它</w:t>
      </w:r>
      <w:bookmarkEnd w:id="7"/>
    </w:p>
    <w:p w14:paraId="1D29912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1、合同未尽事宜、由甲、乙双方协商，作为合同补充，与原合同具有同等法律效力。</w:t>
      </w:r>
    </w:p>
    <w:p w14:paraId="1E69A67E">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rPr>
      </w:pPr>
      <w:r>
        <w:rPr>
          <w:rFonts w:hint="eastAsia" w:ascii="宋体" w:hAnsi="宋体" w:eastAsia="宋体" w:cs="宋体"/>
          <w:kern w:val="0"/>
          <w:sz w:val="24"/>
          <w:szCs w:val="24"/>
        </w:rPr>
        <w:t>2、 本合同正本一式</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份，甲方、乙方双方分别执</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份。</w:t>
      </w:r>
    </w:p>
    <w:p w14:paraId="54FFFDD4">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rPr>
      </w:pPr>
      <w:r>
        <w:rPr>
          <w:rFonts w:hint="eastAsia" w:ascii="宋体" w:hAnsi="宋体" w:eastAsia="宋体" w:cs="宋体"/>
          <w:kern w:val="0"/>
          <w:sz w:val="24"/>
          <w:szCs w:val="24"/>
        </w:rPr>
        <w:t>3、合同经甲乙双方盖章、签字后生效，合同签订地点为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w:t>
      </w:r>
    </w:p>
    <w:p w14:paraId="15353646">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rPr>
      </w:pPr>
      <w:r>
        <w:rPr>
          <w:rFonts w:hint="eastAsia" w:ascii="宋体" w:hAnsi="宋体" w:eastAsia="宋体" w:cs="宋体"/>
          <w:kern w:val="0"/>
          <w:sz w:val="24"/>
          <w:szCs w:val="24"/>
        </w:rPr>
        <w:t>4、生效时间：   年  月  日</w:t>
      </w:r>
    </w:p>
    <w:p w14:paraId="6C24CC7D">
      <w:pPr>
        <w:pStyle w:val="4"/>
        <w:spacing w:line="360" w:lineRule="auto"/>
        <w:rPr>
          <w:rFonts w:hint="eastAsia" w:ascii="宋体" w:hAnsi="宋体" w:eastAsia="宋体" w:cs="宋体"/>
          <w:sz w:val="24"/>
          <w:szCs w:val="24"/>
        </w:rPr>
      </w:pPr>
    </w:p>
    <w:tbl>
      <w:tblPr>
        <w:tblStyle w:val="7"/>
        <w:tblpPr w:leftFromText="180" w:rightFromText="180" w:vertAnchor="text" w:horzAnchor="page" w:tblpXSpec="center" w:tblpY="469"/>
        <w:tblOverlap w:val="never"/>
        <w:tblW w:w="8577" w:type="dxa"/>
        <w:jc w:val="center"/>
        <w:tblLayout w:type="fixed"/>
        <w:tblCellMar>
          <w:top w:w="0" w:type="dxa"/>
          <w:left w:w="108" w:type="dxa"/>
          <w:bottom w:w="0" w:type="dxa"/>
          <w:right w:w="108" w:type="dxa"/>
        </w:tblCellMar>
      </w:tblPr>
      <w:tblGrid>
        <w:gridCol w:w="4166"/>
        <w:gridCol w:w="4411"/>
      </w:tblGrid>
      <w:tr w14:paraId="6C0C59F1">
        <w:tblPrEx>
          <w:tblCellMar>
            <w:top w:w="0" w:type="dxa"/>
            <w:left w:w="108" w:type="dxa"/>
            <w:bottom w:w="0" w:type="dxa"/>
            <w:right w:w="108" w:type="dxa"/>
          </w:tblCellMar>
        </w:tblPrEx>
        <w:trPr>
          <w:jc w:val="center"/>
        </w:trPr>
        <w:tc>
          <w:tcPr>
            <w:tcW w:w="4166" w:type="dxa"/>
            <w:noWrap w:val="0"/>
            <w:vAlign w:val="top"/>
          </w:tcPr>
          <w:p w14:paraId="7E3CD773">
            <w:pPr>
              <w:widowControl/>
              <w:autoSpaceDE w:val="0"/>
              <w:autoSpaceDN w:val="0"/>
              <w:snapToGrid w:val="0"/>
              <w:spacing w:line="36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甲方名称</w:t>
            </w:r>
            <w:r>
              <w:rPr>
                <w:rFonts w:hint="eastAsia" w:ascii="宋体" w:hAnsi="宋体" w:eastAsia="宋体" w:cs="宋体"/>
                <w:spacing w:val="-20"/>
                <w:kern w:val="0"/>
                <w:sz w:val="24"/>
                <w:szCs w:val="24"/>
              </w:rPr>
              <w:t>（盖章）</w:t>
            </w:r>
            <w:r>
              <w:rPr>
                <w:rFonts w:hint="eastAsia" w:ascii="宋体" w:hAnsi="宋体" w:eastAsia="宋体" w:cs="宋体"/>
                <w:kern w:val="0"/>
                <w:sz w:val="24"/>
                <w:szCs w:val="24"/>
              </w:rPr>
              <w:t>:</w:t>
            </w:r>
          </w:p>
          <w:p w14:paraId="0F2B1E8F">
            <w:pPr>
              <w:widowControl/>
              <w:autoSpaceDE w:val="0"/>
              <w:autoSpaceDN w:val="0"/>
              <w:snapToGrid w:val="0"/>
              <w:spacing w:line="36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地址：</w:t>
            </w:r>
          </w:p>
          <w:p w14:paraId="1A1F667A">
            <w:pPr>
              <w:widowControl/>
              <w:autoSpaceDE w:val="0"/>
              <w:autoSpaceDN w:val="0"/>
              <w:snapToGrid w:val="0"/>
              <w:spacing w:line="36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代表人（签字）：</w:t>
            </w:r>
          </w:p>
          <w:p w14:paraId="05EC84DE">
            <w:pPr>
              <w:widowControl/>
              <w:autoSpaceDE w:val="0"/>
              <w:autoSpaceDN w:val="0"/>
              <w:snapToGrid w:val="0"/>
              <w:spacing w:line="36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电话：</w:t>
            </w:r>
          </w:p>
          <w:p w14:paraId="71EB7242">
            <w:pPr>
              <w:widowControl/>
              <w:autoSpaceDE w:val="0"/>
              <w:autoSpaceDN w:val="0"/>
              <w:snapToGrid w:val="0"/>
              <w:spacing w:line="36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开户银行：</w:t>
            </w:r>
          </w:p>
          <w:p w14:paraId="30B2703E">
            <w:pPr>
              <w:widowControl/>
              <w:autoSpaceDE w:val="0"/>
              <w:autoSpaceDN w:val="0"/>
              <w:snapToGrid w:val="0"/>
              <w:spacing w:line="36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帐号：</w:t>
            </w:r>
          </w:p>
          <w:p w14:paraId="0BCFA3DA">
            <w:pPr>
              <w:widowControl/>
              <w:autoSpaceDE w:val="0"/>
              <w:autoSpaceDN w:val="0"/>
              <w:snapToGrid w:val="0"/>
              <w:spacing w:line="36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日期：</w:t>
            </w:r>
          </w:p>
        </w:tc>
        <w:tc>
          <w:tcPr>
            <w:tcW w:w="4411" w:type="dxa"/>
            <w:noWrap w:val="0"/>
            <w:vAlign w:val="top"/>
          </w:tcPr>
          <w:p w14:paraId="60A53021">
            <w:pPr>
              <w:widowControl/>
              <w:autoSpaceDE w:val="0"/>
              <w:autoSpaceDN w:val="0"/>
              <w:snapToGrid w:val="0"/>
              <w:spacing w:line="36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乙方名称</w:t>
            </w:r>
            <w:r>
              <w:rPr>
                <w:rFonts w:hint="eastAsia" w:ascii="宋体" w:hAnsi="宋体" w:eastAsia="宋体" w:cs="宋体"/>
                <w:spacing w:val="-20"/>
                <w:kern w:val="0"/>
                <w:sz w:val="24"/>
                <w:szCs w:val="24"/>
              </w:rPr>
              <w:t>（盖章）</w:t>
            </w:r>
            <w:r>
              <w:rPr>
                <w:rFonts w:hint="eastAsia" w:ascii="宋体" w:hAnsi="宋体" w:eastAsia="宋体" w:cs="宋体"/>
                <w:kern w:val="0"/>
                <w:sz w:val="24"/>
                <w:szCs w:val="24"/>
              </w:rPr>
              <w:t>:</w:t>
            </w:r>
          </w:p>
          <w:p w14:paraId="081E4E10">
            <w:pPr>
              <w:widowControl/>
              <w:autoSpaceDE w:val="0"/>
              <w:autoSpaceDN w:val="0"/>
              <w:snapToGrid w:val="0"/>
              <w:spacing w:line="36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地址：</w:t>
            </w:r>
          </w:p>
          <w:p w14:paraId="29116203">
            <w:pPr>
              <w:widowControl/>
              <w:autoSpaceDE w:val="0"/>
              <w:autoSpaceDN w:val="0"/>
              <w:snapToGrid w:val="0"/>
              <w:spacing w:line="36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代表人（签字）：</w:t>
            </w:r>
          </w:p>
          <w:p w14:paraId="47D8CCE6">
            <w:pPr>
              <w:widowControl/>
              <w:autoSpaceDE w:val="0"/>
              <w:autoSpaceDN w:val="0"/>
              <w:snapToGrid w:val="0"/>
              <w:spacing w:line="36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电话：</w:t>
            </w:r>
          </w:p>
          <w:p w14:paraId="1B2A7095">
            <w:pPr>
              <w:widowControl/>
              <w:autoSpaceDE w:val="0"/>
              <w:autoSpaceDN w:val="0"/>
              <w:snapToGrid w:val="0"/>
              <w:spacing w:line="36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开户银行：</w:t>
            </w:r>
          </w:p>
          <w:p w14:paraId="296FD058">
            <w:pPr>
              <w:widowControl/>
              <w:autoSpaceDE w:val="0"/>
              <w:autoSpaceDN w:val="0"/>
              <w:snapToGrid w:val="0"/>
              <w:spacing w:line="36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帐号：</w:t>
            </w:r>
          </w:p>
          <w:p w14:paraId="7787A05F">
            <w:pPr>
              <w:widowControl/>
              <w:autoSpaceDE w:val="0"/>
              <w:autoSpaceDN w:val="0"/>
              <w:snapToGrid w:val="0"/>
              <w:spacing w:line="36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日期：</w:t>
            </w:r>
          </w:p>
        </w:tc>
      </w:tr>
    </w:tbl>
    <w:p w14:paraId="637C5C7B">
      <w:pPr>
        <w:spacing w:line="360" w:lineRule="auto"/>
      </w:pP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DF799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A5F30F3">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6A5F30F3">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3AD2A8">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7B057A"/>
    <w:rsid w:val="497B05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9"/>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4">
    <w:name w:val="Body Text"/>
    <w:basedOn w:val="1"/>
    <w:next w:val="3"/>
    <w:qFormat/>
    <w:uiPriority w:val="0"/>
    <w:pPr>
      <w:tabs>
        <w:tab w:val="left" w:pos="567"/>
      </w:tabs>
      <w:spacing w:before="120" w:line="22" w:lineRule="atLeast"/>
    </w:pPr>
    <w:rPr>
      <w:rFonts w:ascii="宋体" w:hAnsi="宋体"/>
      <w:sz w:val="24"/>
    </w:r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9">
    <w:name w:val="标题 1 字符"/>
    <w:link w:val="2"/>
    <w:qFormat/>
    <w:uiPriority w:val="0"/>
    <w:rPr>
      <w:rFonts w:ascii="宋体"/>
      <w:b/>
      <w:kern w:val="44"/>
      <w:sz w:val="32"/>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2025-07-21T09:21:00Z</dcterms:created>
  <dc:creator>华达峰信</dc:creator>
  <cp:lastModifiedBy>华达峰信</cp:lastModifiedBy>
  <dcterms:modified xsi:type="dcterms:W3CDTF">2025-07-21T09:23:18Z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FE9CA44F9CDF40ACADD2E268E624E3DC_11</vt:lpwstr>
  </property>
  <property fmtid="{D5CDD505-2E9C-101B-9397-08002B2CF9AE}" pid="4" name="KSOTemplateDocerSaveRecord">
    <vt:lpwstr>eyJoZGlkIjoiODA0MjMyMzAyMzNkOWQ5NDMxMzg5ZDc2ZmE4YTJmMTUiLCJ1c2VySWQiOiIxNDg3MDY0OTE5In0=</vt:lpwstr>
  </property>
</Properties>
</file>