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版本号：YDZC2025-070220250729001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西安市临潼区公务用车信息化平台系统升级维护项目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YDZC2025-0702</w:t>
      </w:r>
      <w:r>
        <w:br/>
      </w:r>
      <w:r>
        <w:br/>
      </w:r>
      <w:r>
        <w:br/>
      </w:r>
    </w:p>
    <w:p>
      <w:pPr>
        <w:pStyle w:val="null3"/>
        <w:jc w:val="center"/>
        <w:outlineLvl w:val="5"/>
      </w:pPr>
      <w:r>
        <w:rPr>
          <w:rFonts w:ascii="仿宋_GB2312" w:hAnsi="仿宋_GB2312" w:cs="仿宋_GB2312" w:eastAsia="仿宋_GB2312"/>
          <w:sz w:val="15"/>
          <w:b/>
        </w:rPr>
        <w:t>西安市临潼区机关事务服务中心</w:t>
      </w:r>
    </w:p>
    <w:p>
      <w:pPr>
        <w:pStyle w:val="null3"/>
        <w:jc w:val="center"/>
        <w:outlineLvl w:val="5"/>
      </w:pPr>
      <w:r>
        <w:rPr>
          <w:rFonts w:ascii="仿宋_GB2312" w:hAnsi="仿宋_GB2312" w:cs="仿宋_GB2312" w:eastAsia="仿宋_GB2312"/>
          <w:sz w:val="15"/>
          <w:b/>
        </w:rPr>
        <w:t>远大工程项目管理有限公司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远大工程项目管理有限公司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西安市临潼区机关事务服务中心</w:t>
      </w:r>
      <w:r>
        <w:rPr>
          <w:rFonts w:ascii="仿宋_GB2312" w:hAnsi="仿宋_GB2312" w:cs="仿宋_GB2312" w:eastAsia="仿宋_GB2312"/>
        </w:rPr>
        <w:t>委托，拟对</w:t>
      </w:r>
      <w:r>
        <w:rPr>
          <w:rFonts w:ascii="仿宋_GB2312" w:hAnsi="仿宋_GB2312" w:cs="仿宋_GB2312" w:eastAsia="仿宋_GB2312"/>
        </w:rPr>
        <w:t>西安市临潼区公务用车信息化平台系统升级维护项目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YDZC2025-0702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西安市临潼区公务用车信息化平台系统升级维护项目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西安市临潼区公务用车信息化平台系统实现公务用车实时定位，轨迹回放等功能，保障公务用车信息化平台系统维护，平台软件后期升级维护，实时发送车辆信息等。</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采购包1（西安市临潼区公务用车信息化平台系统升级维护项目）：属于专门面向中小企业采购。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1、“信用中国”网站和中国政府采购网 （www.ccgp.gov.cn）查询记录：未被列入“信用中国”网站(www.creditchina.gov.cn)失信被执行人名单、重大税收违法失信主体、未被列入“中国政府采购网”（www.ccgp.gov.cn）政府采购严重违法失信行为记录名单（以现场查询为准）；</w:t>
      </w:r>
    </w:p>
    <w:p>
      <w:pPr>
        <w:pStyle w:val="null3"/>
      </w:pPr>
      <w:r>
        <w:rPr>
          <w:rFonts w:ascii="仿宋_GB2312" w:hAnsi="仿宋_GB2312" w:cs="仿宋_GB2312" w:eastAsia="仿宋_GB2312"/>
        </w:rPr>
        <w:t>2、法定代表人授权书：法定代表人授权书及被授权人身份证（法定代表人直接投标只须提供其身份证明）；供应商需在项目电子化交易系统中按要求上传相应证明文件并进行电子签章。</w:t>
      </w:r>
    </w:p>
    <w:p>
      <w:pPr>
        <w:pStyle w:val="null3"/>
      </w:pPr>
      <w:r>
        <w:rPr>
          <w:rFonts w:ascii="仿宋_GB2312" w:hAnsi="仿宋_GB2312" w:cs="仿宋_GB2312" w:eastAsia="仿宋_GB2312"/>
        </w:rPr>
        <w:t>3、非联合体：本项目不允许联合体投标（提供承诺函）；供应商需在项目电子化交易系统中按要求上传相应证明文件并进行电子签章。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临潼区书院门街41号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13609159440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远大工程项目管理有限公司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陕西省西安市未央区凤城七路长和国际D座20层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029-81527788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采购包1：618,000.00元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采购包1：618,000.00元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代理服务费收费标准：代理服务费收费标准：参照国家计委颁发的《招标代理服务收费管理暂 行办法》（计价格[2002]1980号）和国家发展和改革委员会办公厅颁发的《关于招标代理服务 收费有关问题的通知》（发改办价格[2003]857号）的有关规定执行。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西安市临潼区机关事务服务中心</w:t>
      </w:r>
      <w:r>
        <w:rPr>
          <w:rFonts w:ascii="仿宋_GB2312" w:hAnsi="仿宋_GB2312" w:cs="仿宋_GB2312" w:eastAsia="仿宋_GB2312"/>
        </w:rPr>
        <w:t>和</w:t>
      </w:r>
      <w:r>
        <w:rPr>
          <w:rFonts w:ascii="仿宋_GB2312" w:hAnsi="仿宋_GB2312" w:cs="仿宋_GB2312" w:eastAsia="仿宋_GB2312"/>
        </w:rPr>
        <w:t>远大工程项目管理有限公司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远大工程项目管理有限公司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西安市临潼区机关事务服务中心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远大工程项目管理有限公司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西安市临潼区公务用车信息化平台系统实现公务用车实时定位，轨迹回放等功能，保障公务用车信息化平台系统维护，平台软件后期升级维护，实时发送车辆信息等。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618,000.00</w:t>
      </w:r>
    </w:p>
    <w:p>
      <w:pPr>
        <w:pStyle w:val="null3"/>
      </w:pPr>
      <w:r>
        <w:rPr>
          <w:rFonts w:ascii="仿宋_GB2312" w:hAnsi="仿宋_GB2312" w:cs="仿宋_GB2312" w:eastAsia="仿宋_GB2312"/>
        </w:rPr>
        <w:t>采购包最高限价（元）: 618,000.00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西安市临潼区公务用车信息化平台系统升级维护项目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标的名称：西安市临潼区公务用车信息化平台系统升级维护项目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45" w:after="330"/>
              <w:jc w:val="both"/>
            </w:pPr>
            <w:r>
              <w:rPr>
                <w:rFonts w:ascii="仿宋_GB2312" w:hAnsi="仿宋_GB2312" w:cs="仿宋_GB2312" w:eastAsia="仿宋_GB2312"/>
                <w:sz w:val="21"/>
                <w:b/>
              </w:rPr>
              <w:t>一、项目背景</w:t>
            </w:r>
          </w:p>
          <w:p>
            <w:pPr>
              <w:pStyle w:val="null3"/>
              <w:ind w:firstLine="560"/>
              <w:jc w:val="both"/>
            </w:pPr>
            <w:r>
              <w:rPr>
                <w:rFonts w:ascii="仿宋_GB2312" w:hAnsi="仿宋_GB2312" w:cs="仿宋_GB2312" w:eastAsia="仿宋_GB2312"/>
                <w:sz w:val="21"/>
              </w:rPr>
              <w:t>中央车改办连续印发《关于进一步加强公务用车平台建设的通知》、《关于完善配套政策持续巩固公车改革成果的通知》、《关于加快公车改革取消车辆处置工作的通知》，要求各级地方政府建设车辆管理平台。</w:t>
            </w:r>
          </w:p>
          <w:p>
            <w:pPr>
              <w:pStyle w:val="null3"/>
              <w:ind w:firstLine="560"/>
              <w:jc w:val="both"/>
            </w:pPr>
            <w:r>
              <w:rPr>
                <w:rFonts w:ascii="仿宋_GB2312" w:hAnsi="仿宋_GB2312" w:cs="仿宋_GB2312" w:eastAsia="仿宋_GB2312"/>
                <w:sz w:val="21"/>
              </w:rPr>
              <w:t>为落实中改办指示，保障全区各部门正常的公务出行，政府单位公务车需实行集中统一管理，实现</w:t>
            </w:r>
            <w:r>
              <w:rPr>
                <w:rFonts w:ascii="仿宋_GB2312" w:hAnsi="仿宋_GB2312" w:cs="仿宋_GB2312" w:eastAsia="仿宋_GB2312"/>
                <w:sz w:val="21"/>
              </w:rPr>
              <w:t>“管理平台化、平台信息化、车辆标识化”，建立统一管理模式，做到“便捷派车、高效用车、透明管车、有效督车”。在此背景下，西安市临潼区公务用车信息化平台系统升级维护项目按照中省车改办文件精神，将车改后保留车辆纳入统一平台管理，通过升级改造公务用车信息管理平台，以满足公务用车信息化平台自身管理的要求和“全市一张网”的需求，同时又保证满足与陕西省现有系统软件平台的无缝对接和硬件设备的融合，数据互联互通，以达到省市级文件“全省一张网”、“全市一张网”建设精神要求。</w:t>
            </w:r>
          </w:p>
          <w:p>
            <w:pPr>
              <w:pStyle w:val="null3"/>
              <w:spacing w:before="345" w:after="330"/>
              <w:jc w:val="both"/>
            </w:pPr>
            <w:r>
              <w:rPr>
                <w:rFonts w:ascii="仿宋_GB2312" w:hAnsi="仿宋_GB2312" w:cs="仿宋_GB2312" w:eastAsia="仿宋_GB2312"/>
                <w:sz w:val="21"/>
                <w:b/>
              </w:rPr>
              <w:t>二、服务要求</w:t>
            </w:r>
          </w:p>
          <w:p>
            <w:pPr>
              <w:pStyle w:val="null3"/>
              <w:numPr>
                <w:ilvl w:val="0"/>
                <w:numId w:val="1"/>
              </w:numPr>
            </w:pPr>
            <w:r>
              <w:rPr>
                <w:rFonts w:ascii="仿宋_GB2312" w:hAnsi="仿宋_GB2312" w:cs="仿宋_GB2312" w:eastAsia="仿宋_GB2312"/>
                <w:sz w:val="21"/>
              </w:rPr>
              <w:t>项目名称：西安市临潼区公务用车信息化平台系统升级维护项目</w:t>
            </w:r>
          </w:p>
          <w:p>
            <w:pPr>
              <w:pStyle w:val="null3"/>
              <w:numPr>
                <w:ilvl w:val="0"/>
                <w:numId w:val="1"/>
              </w:numPr>
            </w:pPr>
            <w:r>
              <w:rPr>
                <w:rFonts w:ascii="仿宋_GB2312" w:hAnsi="仿宋_GB2312" w:cs="仿宋_GB2312" w:eastAsia="仿宋_GB2312"/>
                <w:sz w:val="21"/>
              </w:rPr>
              <w:t>项目内容：对</w:t>
            </w:r>
            <w:r>
              <w:rPr>
                <w:rFonts w:ascii="仿宋_GB2312" w:hAnsi="仿宋_GB2312" w:cs="仿宋_GB2312" w:eastAsia="仿宋_GB2312"/>
                <w:sz w:val="21"/>
              </w:rPr>
              <w:t>450辆车平台运行维护服务。</w:t>
            </w:r>
          </w:p>
          <w:p>
            <w:pPr>
              <w:pStyle w:val="null3"/>
              <w:numPr>
                <w:ilvl w:val="0"/>
                <w:numId w:val="1"/>
              </w:numPr>
            </w:pPr>
            <w:r>
              <w:rPr>
                <w:rFonts w:ascii="仿宋_GB2312" w:hAnsi="仿宋_GB2312" w:cs="仿宋_GB2312" w:eastAsia="仿宋_GB2312"/>
                <w:sz w:val="21"/>
              </w:rPr>
              <w:t>服务期限；自合同签订之日起一年，本项目采取一年</w:t>
            </w:r>
            <w:r>
              <w:rPr>
                <w:rFonts w:ascii="仿宋_GB2312" w:hAnsi="仿宋_GB2312" w:cs="仿宋_GB2312" w:eastAsia="仿宋_GB2312"/>
                <w:sz w:val="21"/>
              </w:rPr>
              <w:t>采购</w:t>
            </w:r>
            <w:r>
              <w:rPr>
                <w:rFonts w:ascii="仿宋_GB2312" w:hAnsi="仿宋_GB2312" w:cs="仿宋_GB2312" w:eastAsia="仿宋_GB2312"/>
                <w:sz w:val="21"/>
              </w:rPr>
              <w:t>三年沿用</w:t>
            </w:r>
            <w:r>
              <w:rPr>
                <w:rFonts w:ascii="仿宋_GB2312" w:hAnsi="仿宋_GB2312" w:cs="仿宋_GB2312" w:eastAsia="仿宋_GB2312"/>
                <w:sz w:val="21"/>
              </w:rPr>
              <w:t>（</w:t>
            </w:r>
            <w:r>
              <w:rPr>
                <w:rFonts w:ascii="仿宋_GB2312" w:hAnsi="仿宋_GB2312" w:cs="仿宋_GB2312" w:eastAsia="仿宋_GB2312"/>
                <w:sz w:val="21"/>
              </w:rPr>
              <w:t>总计三年</w:t>
            </w:r>
            <w:r>
              <w:rPr>
                <w:rFonts w:ascii="仿宋_GB2312" w:hAnsi="仿宋_GB2312" w:cs="仿宋_GB2312" w:eastAsia="仿宋_GB2312"/>
                <w:sz w:val="21"/>
              </w:rPr>
              <w:t>）</w:t>
            </w:r>
            <w:r>
              <w:rPr>
                <w:rFonts w:ascii="仿宋_GB2312" w:hAnsi="仿宋_GB2312" w:cs="仿宋_GB2312" w:eastAsia="仿宋_GB2312"/>
                <w:sz w:val="21"/>
              </w:rPr>
              <w:t>，实行一年一考核一签合同的办法。</w:t>
            </w:r>
          </w:p>
          <w:p>
            <w:pPr>
              <w:pStyle w:val="null3"/>
              <w:numPr>
                <w:ilvl w:val="0"/>
                <w:numId w:val="1"/>
              </w:numPr>
            </w:pPr>
            <w:r>
              <w:rPr>
                <w:rFonts w:ascii="仿宋_GB2312" w:hAnsi="仿宋_GB2312" w:cs="仿宋_GB2312" w:eastAsia="仿宋_GB2312"/>
                <w:sz w:val="21"/>
              </w:rPr>
              <w:t>采购预算金额：</w:t>
            </w:r>
            <w:r>
              <w:rPr>
                <w:rFonts w:ascii="仿宋_GB2312" w:hAnsi="仿宋_GB2312" w:cs="仿宋_GB2312" w:eastAsia="仿宋_GB2312"/>
                <w:sz w:val="21"/>
              </w:rPr>
              <w:t>618,000.00元</w:t>
            </w:r>
            <w:r>
              <w:rPr>
                <w:rFonts w:ascii="仿宋_GB2312" w:hAnsi="仿宋_GB2312" w:cs="仿宋_GB2312" w:eastAsia="仿宋_GB2312"/>
                <w:sz w:val="21"/>
              </w:rPr>
              <w:t>/年</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费用组成：平台服务费、数据流量通讯费、</w:t>
            </w:r>
            <w:r>
              <w:rPr>
                <w:rFonts w:ascii="仿宋_GB2312" w:hAnsi="仿宋_GB2312" w:cs="仿宋_GB2312" w:eastAsia="仿宋_GB2312"/>
                <w:sz w:val="21"/>
              </w:rPr>
              <w:t>10690短信费、云资源服务费。</w:t>
            </w:r>
          </w:p>
          <w:p>
            <w:pPr>
              <w:pStyle w:val="null3"/>
              <w:spacing w:before="345" w:after="330"/>
              <w:jc w:val="both"/>
            </w:pPr>
            <w:r>
              <w:rPr>
                <w:rFonts w:ascii="仿宋_GB2312" w:hAnsi="仿宋_GB2312" w:cs="仿宋_GB2312" w:eastAsia="仿宋_GB2312"/>
                <w:sz w:val="21"/>
                <w:b/>
              </w:rPr>
              <w:t>三、服务内容</w:t>
            </w:r>
          </w:p>
          <w:p>
            <w:pPr>
              <w:pStyle w:val="null3"/>
              <w:ind w:firstLine="560"/>
              <w:jc w:val="both"/>
            </w:pPr>
            <w:r>
              <w:rPr>
                <w:rFonts w:ascii="仿宋_GB2312" w:hAnsi="仿宋_GB2312" w:cs="仿宋_GB2312" w:eastAsia="仿宋_GB2312"/>
                <w:sz w:val="21"/>
              </w:rPr>
              <w:t>需要对整个系统平台进行为期</w:t>
            </w:r>
            <w:r>
              <w:rPr>
                <w:rFonts w:ascii="仿宋_GB2312" w:hAnsi="仿宋_GB2312" w:cs="仿宋_GB2312" w:eastAsia="仿宋_GB2312"/>
                <w:sz w:val="21"/>
              </w:rPr>
              <w:t>1年的维护，维护的范围包括</w:t>
            </w:r>
            <w:r>
              <w:rPr>
                <w:rFonts w:ascii="仿宋_GB2312" w:hAnsi="仿宋_GB2312" w:cs="仿宋_GB2312" w:eastAsia="仿宋_GB2312"/>
                <w:sz w:val="21"/>
                <w:color w:val="000000"/>
              </w:rPr>
              <w:t>网络、服务器及数据的日常运维</w:t>
            </w:r>
            <w:r>
              <w:rPr>
                <w:rFonts w:ascii="仿宋_GB2312" w:hAnsi="仿宋_GB2312" w:cs="仿宋_GB2312" w:eastAsia="仿宋_GB2312"/>
                <w:sz w:val="21"/>
              </w:rPr>
              <w:t>；对</w:t>
            </w:r>
            <w:r>
              <w:rPr>
                <w:rFonts w:ascii="仿宋_GB2312" w:hAnsi="仿宋_GB2312" w:cs="仿宋_GB2312" w:eastAsia="仿宋_GB2312"/>
                <w:sz w:val="21"/>
                <w:color w:val="000000"/>
              </w:rPr>
              <w:t>系统及服务器漏洞扫描与防护；对系统功能的完善及升级；对硬件设备的维护保养；</w:t>
            </w:r>
            <w:r>
              <w:rPr>
                <w:rFonts w:ascii="仿宋_GB2312" w:hAnsi="仿宋_GB2312" w:cs="仿宋_GB2312" w:eastAsia="仿宋_GB2312"/>
                <w:sz w:val="21"/>
              </w:rPr>
              <w:t>对短信平台服务、物联网</w:t>
            </w:r>
            <w:r>
              <w:rPr>
                <w:rFonts w:ascii="仿宋_GB2312" w:hAnsi="仿宋_GB2312" w:cs="仿宋_GB2312" w:eastAsia="仿宋_GB2312"/>
                <w:sz w:val="21"/>
              </w:rPr>
              <w:t>SIM流量专人进行日常管理。针对软件平台系统进行日常维护，每天定时登录服务器检查程序服务中间件、软件系统、服务器软件日志是否存在异常和报错，检查服务器网络是否存在异常；定期漏洞修复；平台功能升级、车载客户端软件、平台联调集成、接入后管理运营、数据备份等维护性操作。对450台北斗定位终端</w:t>
            </w:r>
            <w:r>
              <w:rPr>
                <w:rFonts w:ascii="仿宋_GB2312" w:hAnsi="仿宋_GB2312" w:cs="仿宋_GB2312" w:eastAsia="仿宋_GB2312"/>
                <w:sz w:val="21"/>
              </w:rPr>
              <w:t>检测、改装</w:t>
            </w:r>
            <w:r>
              <w:rPr>
                <w:rFonts w:ascii="仿宋_GB2312" w:hAnsi="仿宋_GB2312" w:cs="仿宋_GB2312" w:eastAsia="仿宋_GB2312"/>
                <w:sz w:val="21"/>
              </w:rPr>
              <w:t>、维修、定期巡检、维护保养、设备系统升级。</w:t>
            </w:r>
          </w:p>
          <w:p>
            <w:pPr>
              <w:pStyle w:val="null3"/>
              <w:spacing w:before="345" w:after="330"/>
              <w:jc w:val="both"/>
            </w:pPr>
            <w:r>
              <w:rPr>
                <w:rFonts w:ascii="仿宋_GB2312" w:hAnsi="仿宋_GB2312" w:cs="仿宋_GB2312" w:eastAsia="仿宋_GB2312"/>
                <w:sz w:val="21"/>
                <w:b/>
              </w:rPr>
              <w:t>四、终端设备备品备件技术要求</w:t>
            </w:r>
          </w:p>
          <w:p>
            <w:pPr>
              <w:pStyle w:val="null3"/>
              <w:ind w:firstLine="562"/>
              <w:jc w:val="both"/>
            </w:pPr>
            <w:r>
              <w:rPr>
                <w:rFonts w:ascii="仿宋_GB2312" w:hAnsi="仿宋_GB2312" w:cs="仿宋_GB2312" w:eastAsia="仿宋_GB2312"/>
                <w:sz w:val="21"/>
                <w:b/>
              </w:rPr>
              <w:t>北斗定位车载终端：</w:t>
            </w:r>
            <w:r>
              <w:rPr>
                <w:rFonts w:ascii="仿宋_GB2312" w:hAnsi="仿宋_GB2312" w:cs="仿宋_GB2312" w:eastAsia="仿宋_GB2312"/>
                <w:sz w:val="21"/>
              </w:rPr>
              <w:t>北斗车载终端可实现车辆定位及车身动态信息采集，具有远程参数配置功能，为了保证后续产品服务的连贯性，北斗定位终端供应商应该与本平台建设供应方保持一致或能够提供统一的售后服务及技术服务。</w:t>
            </w:r>
          </w:p>
          <w:p>
            <w:pPr>
              <w:pStyle w:val="null3"/>
              <w:ind w:firstLine="560"/>
              <w:jc w:val="both"/>
            </w:pPr>
            <w:r>
              <w:rPr>
                <w:rFonts w:ascii="仿宋_GB2312" w:hAnsi="仿宋_GB2312" w:cs="仿宋_GB2312" w:eastAsia="仿宋_GB2312"/>
                <w:sz w:val="21"/>
              </w:rPr>
              <w:t>北斗定位车载终端技术要求</w:t>
            </w:r>
          </w:p>
          <w:p>
            <w:pPr>
              <w:pStyle w:val="null3"/>
              <w:ind w:firstLine="560"/>
              <w:jc w:val="both"/>
            </w:pPr>
            <w:r>
              <w:rPr>
                <w:rFonts w:ascii="仿宋_GB2312" w:hAnsi="仿宋_GB2312" w:cs="仿宋_GB2312" w:eastAsia="仿宋_GB2312"/>
                <w:sz w:val="21"/>
              </w:rPr>
              <w:t>1、通过OBD直接获取车辆故障信息；</w:t>
            </w:r>
          </w:p>
          <w:p>
            <w:pPr>
              <w:pStyle w:val="null3"/>
              <w:ind w:firstLine="560"/>
              <w:jc w:val="both"/>
            </w:pPr>
            <w:r>
              <w:rPr>
                <w:rFonts w:ascii="仿宋_GB2312" w:hAnsi="仿宋_GB2312" w:cs="仿宋_GB2312" w:eastAsia="仿宋_GB2312"/>
                <w:sz w:val="21"/>
              </w:rPr>
              <w:t>2、具有实时位置查询、定时监控、盲区补传、终端软件远程升级功能；</w:t>
            </w:r>
          </w:p>
          <w:p>
            <w:pPr>
              <w:pStyle w:val="null3"/>
              <w:ind w:firstLine="560"/>
              <w:jc w:val="both"/>
            </w:pPr>
            <w:r>
              <w:rPr>
                <w:rFonts w:ascii="仿宋_GB2312" w:hAnsi="仿宋_GB2312" w:cs="仿宋_GB2312" w:eastAsia="仿宋_GB2312"/>
                <w:sz w:val="21"/>
              </w:rPr>
              <w:t>3、具有区域限制、超速报警、低压报警、主电源掉电报警功能；</w:t>
            </w:r>
          </w:p>
          <w:p>
            <w:pPr>
              <w:pStyle w:val="null3"/>
              <w:ind w:firstLine="560"/>
              <w:jc w:val="both"/>
            </w:pPr>
            <w:r>
              <w:rPr>
                <w:rFonts w:ascii="仿宋_GB2312" w:hAnsi="仿宋_GB2312" w:cs="仿宋_GB2312" w:eastAsia="仿宋_GB2312"/>
                <w:sz w:val="21"/>
              </w:rPr>
              <w:t>4、拐点补传、基站定位以及低功耗模式；</w:t>
            </w:r>
          </w:p>
          <w:p>
            <w:pPr>
              <w:pStyle w:val="null3"/>
              <w:ind w:firstLine="560"/>
              <w:jc w:val="both"/>
            </w:pPr>
            <w:r>
              <w:rPr>
                <w:rFonts w:ascii="仿宋_GB2312" w:hAnsi="仿宋_GB2312" w:cs="仿宋_GB2312" w:eastAsia="仿宋_GB2312"/>
                <w:sz w:val="21"/>
              </w:rPr>
              <w:t>环境特性：正常工作温度范围</w:t>
            </w:r>
            <w:r>
              <w:rPr>
                <w:rFonts w:ascii="仿宋_GB2312" w:hAnsi="仿宋_GB2312" w:cs="仿宋_GB2312" w:eastAsia="仿宋_GB2312"/>
                <w:sz w:val="21"/>
              </w:rPr>
              <w:t>-25℃～75℃</w:t>
            </w:r>
          </w:p>
          <w:p>
            <w:pPr>
              <w:pStyle w:val="null3"/>
              <w:ind w:firstLine="560"/>
              <w:jc w:val="both"/>
            </w:pPr>
            <w:r>
              <w:rPr>
                <w:rFonts w:ascii="仿宋_GB2312" w:hAnsi="仿宋_GB2312" w:cs="仿宋_GB2312" w:eastAsia="仿宋_GB2312"/>
                <w:sz w:val="21"/>
              </w:rPr>
              <w:t>存储温度范围：</w:t>
            </w:r>
            <w:r>
              <w:rPr>
                <w:rFonts w:ascii="仿宋_GB2312" w:hAnsi="仿宋_GB2312" w:cs="仿宋_GB2312" w:eastAsia="仿宋_GB2312"/>
                <w:sz w:val="21"/>
              </w:rPr>
              <w:t>-40℃～85℃；    工作电压：DC 9～36V；</w:t>
            </w:r>
          </w:p>
          <w:p>
            <w:pPr>
              <w:pStyle w:val="null3"/>
              <w:ind w:firstLine="560"/>
              <w:jc w:val="both"/>
            </w:pPr>
            <w:r>
              <w:rPr>
                <w:rFonts w:ascii="仿宋_GB2312" w:hAnsi="仿宋_GB2312" w:cs="仿宋_GB2312" w:eastAsia="仿宋_GB2312"/>
                <w:sz w:val="21"/>
              </w:rPr>
              <w:t>工作电流：</w:t>
            </w:r>
            <w:r>
              <w:rPr>
                <w:rFonts w:ascii="仿宋_GB2312" w:hAnsi="仿宋_GB2312" w:cs="仿宋_GB2312" w:eastAsia="仿宋_GB2312"/>
                <w:sz w:val="21"/>
              </w:rPr>
              <w:t>48～52mA@12V（休眠状态电流18～21mA@12V）</w:t>
            </w:r>
          </w:p>
          <w:p>
            <w:pPr>
              <w:pStyle w:val="null3"/>
              <w:ind w:firstLine="560"/>
              <w:jc w:val="both"/>
            </w:pPr>
            <w:r>
              <w:rPr>
                <w:rFonts w:ascii="仿宋_GB2312" w:hAnsi="仿宋_GB2312" w:cs="仿宋_GB2312" w:eastAsia="仿宋_GB2312"/>
                <w:sz w:val="21"/>
              </w:rPr>
              <w:t>定位方式：北斗定位；</w:t>
            </w:r>
            <w:r>
              <w:rPr>
                <w:rFonts w:ascii="仿宋_GB2312" w:hAnsi="仿宋_GB2312" w:cs="仿宋_GB2312" w:eastAsia="仿宋_GB2312"/>
                <w:sz w:val="21"/>
              </w:rPr>
              <w:t xml:space="preserve">           </w:t>
            </w:r>
            <w:r>
              <w:rPr>
                <w:rFonts w:ascii="仿宋_GB2312" w:hAnsi="仿宋_GB2312" w:cs="仿宋_GB2312" w:eastAsia="仿宋_GB2312"/>
                <w:sz w:val="21"/>
              </w:rPr>
              <w:t>定位误差：</w:t>
            </w:r>
            <w:r>
              <w:rPr>
                <w:rFonts w:ascii="仿宋_GB2312" w:hAnsi="仿宋_GB2312" w:cs="仿宋_GB2312" w:eastAsia="仿宋_GB2312"/>
                <w:sz w:val="21"/>
              </w:rPr>
              <w:t>10m；</w:t>
            </w:r>
          </w:p>
          <w:p>
            <w:pPr>
              <w:pStyle w:val="null3"/>
              <w:ind w:firstLine="560"/>
              <w:jc w:val="both"/>
            </w:pPr>
            <w:r>
              <w:rPr>
                <w:rFonts w:ascii="仿宋_GB2312" w:hAnsi="仿宋_GB2312" w:cs="仿宋_GB2312" w:eastAsia="仿宋_GB2312"/>
                <w:sz w:val="21"/>
              </w:rPr>
              <w:t>通信网络：</w:t>
            </w:r>
            <w:r>
              <w:rPr>
                <w:rFonts w:ascii="仿宋_GB2312" w:hAnsi="仿宋_GB2312" w:cs="仿宋_GB2312" w:eastAsia="仿宋_GB2312"/>
                <w:sz w:val="21"/>
              </w:rPr>
              <w:t>GPRS；               通讯方式：TCP/UDP；</w:t>
            </w:r>
          </w:p>
          <w:p>
            <w:pPr>
              <w:pStyle w:val="null3"/>
              <w:ind w:firstLine="560"/>
              <w:jc w:val="both"/>
            </w:pPr>
            <w:r>
              <w:rPr>
                <w:rFonts w:ascii="仿宋_GB2312" w:hAnsi="仿宋_GB2312" w:cs="仿宋_GB2312" w:eastAsia="仿宋_GB2312"/>
                <w:sz w:val="21"/>
              </w:rPr>
              <w:t>后备电池工作时间：电池充饱电的前提下，可连续工作</w:t>
            </w:r>
            <w:r>
              <w:rPr>
                <w:rFonts w:ascii="仿宋_GB2312" w:hAnsi="仿宋_GB2312" w:cs="仿宋_GB2312" w:eastAsia="仿宋_GB2312"/>
                <w:sz w:val="21"/>
              </w:rPr>
              <w:t>1.5h左右；</w:t>
            </w:r>
          </w:p>
          <w:p>
            <w:pPr>
              <w:pStyle w:val="null3"/>
              <w:ind w:firstLine="560"/>
              <w:jc w:val="both"/>
            </w:pPr>
            <w:r>
              <w:rPr>
                <w:rFonts w:ascii="仿宋_GB2312" w:hAnsi="仿宋_GB2312" w:cs="仿宋_GB2312" w:eastAsia="仿宋_GB2312"/>
                <w:sz w:val="21"/>
              </w:rPr>
              <w:t>其他性能要求：数据协议符合国家交通部</w:t>
            </w:r>
            <w:r>
              <w:rPr>
                <w:rFonts w:ascii="仿宋_GB2312" w:hAnsi="仿宋_GB2312" w:cs="仿宋_GB2312" w:eastAsia="仿宋_GB2312"/>
                <w:sz w:val="21"/>
              </w:rPr>
              <w:t>JT808协议，无缝过渡公车管理平台，实现车载数据的接收、解析和存储，并与业务关联，实现对平台车辆的监管。</w:t>
            </w:r>
          </w:p>
          <w:p>
            <w:pPr>
              <w:pStyle w:val="null3"/>
              <w:spacing w:before="345" w:after="330"/>
              <w:jc w:val="both"/>
            </w:pPr>
            <w:r>
              <w:rPr>
                <w:rFonts w:ascii="仿宋_GB2312" w:hAnsi="仿宋_GB2312" w:cs="仿宋_GB2312" w:eastAsia="仿宋_GB2312"/>
                <w:sz w:val="21"/>
                <w:b/>
              </w:rPr>
              <w:t>五、技术服务参数要求</w:t>
            </w:r>
          </w:p>
          <w:tbl>
            <w:tblPr>
              <w:tblBorders>
                <w:top w:val="single"/>
                <w:left w:val="single"/>
                <w:bottom w:val="single"/>
                <w:right w:val="single"/>
                <w:insideH w:val="single"/>
                <w:insideV w:val="single"/>
              </w:tblBorders>
            </w:tblPr>
            <w:tblGrid>
              <w:gridCol w:w="358"/>
              <w:gridCol w:w="358"/>
              <w:gridCol w:w="1432"/>
              <w:gridCol w:w="202"/>
              <w:gridCol w:w="202"/>
            </w:tblGrid>
            <w:tr>
              <w:tc>
                <w:tcPr>
                  <w:tcW w:type="dxa" w:w="2552"/>
                  <w:gridSpan w:val="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b/>
                      <w:color w:val="000000"/>
                    </w:rPr>
                    <w:t>西安市临潼区公务用车信息化平台系统升级维护项目采购需求表</w:t>
                  </w:r>
                </w:p>
              </w:tc>
            </w:tr>
            <w:tr>
              <w:tc>
                <w:tcPr>
                  <w:tcW w:type="dxa" w:w="2552"/>
                  <w:gridSpan w:val="5"/>
                  <w:tcBorders>
                    <w:top w:val="none" w:color="000000" w:sz="4"/>
                    <w:left w:val="single" w:color="000000" w:sz="4"/>
                    <w:bottom w:val="single" w:color="000000" w:sz="4"/>
                    <w:right w:val="single" w:color="000000" w:sz="4"/>
                  </w:tcBorders>
                  <w:shd w:fill="D8D8D8"/>
                  <w:tcMar>
                    <w:top w:type="dxa" w:w="15"/>
                    <w:left w:type="dxa" w:w="15"/>
                    <w:right w:type="dxa" w:w="15"/>
                  </w:tcMar>
                  <w:vAlign w:val="top"/>
                </w:tcPr>
                <w:p>
                  <w:pPr>
                    <w:pStyle w:val="null3"/>
                    <w:jc w:val="left"/>
                  </w:pPr>
                  <w:r>
                    <w:rPr>
                      <w:rFonts w:ascii="仿宋_GB2312" w:hAnsi="仿宋_GB2312" w:cs="仿宋_GB2312" w:eastAsia="仿宋_GB2312"/>
                      <w:sz w:val="21"/>
                      <w:b/>
                      <w:color w:val="000000"/>
                    </w:rPr>
                    <w:t>软件平台及硬件设备</w:t>
                  </w:r>
                </w:p>
              </w:tc>
            </w:tr>
            <w:tr>
              <w:tc>
                <w:tcPr>
                  <w:tcW w:type="dxa" w:w="358"/>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b/>
                      <w:color w:val="000000"/>
                    </w:rPr>
                    <w:t>名称</w:t>
                  </w:r>
                </w:p>
              </w:tc>
              <w:tc>
                <w:tcPr>
                  <w:tcW w:type="dxa" w:w="358"/>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b/>
                      <w:color w:val="000000"/>
                    </w:rPr>
                    <w:t>功能模块</w:t>
                  </w:r>
                </w:p>
              </w:tc>
              <w:tc>
                <w:tcPr>
                  <w:tcW w:type="dxa" w:w="1432"/>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b/>
                      <w:color w:val="000000"/>
                    </w:rPr>
                    <w:t>功能描述（或参数要求）</w:t>
                  </w:r>
                </w:p>
              </w:tc>
              <w:tc>
                <w:tcPr>
                  <w:tcW w:type="dxa" w:w="202"/>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b/>
                      <w:color w:val="000000"/>
                    </w:rPr>
                    <w:t>数量</w:t>
                  </w:r>
                </w:p>
              </w:tc>
              <w:tc>
                <w:tcPr>
                  <w:tcW w:type="dxa" w:w="202"/>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b/>
                      <w:color w:val="000000"/>
                    </w:rPr>
                    <w:t>单位</w:t>
                  </w:r>
                </w:p>
              </w:tc>
            </w:tr>
            <w:tr>
              <w:tc>
                <w:tcPr>
                  <w:tcW w:type="dxa" w:w="358"/>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公务用车信息管理平台</w:t>
                  </w: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用户登录</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Web端和APP端支持用户名和口令登录</w:t>
                  </w:r>
                </w:p>
              </w:tc>
              <w:tc>
                <w:tcPr>
                  <w:tcW w:type="dxa" w:w="202"/>
                  <w:vMerge w:val="restart"/>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1</w:t>
                  </w:r>
                </w:p>
              </w:tc>
              <w:tc>
                <w:tcPr>
                  <w:tcW w:type="dxa" w:w="202"/>
                  <w:vMerge w:val="restart"/>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套</w:t>
                  </w: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工作台</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展示公车平台总体运行状况，包括车辆数、车辆运行状态、订单数量、使用率等指标；不同角色登录看到不同的展示信息</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报警总览</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通过一张图可以看到整个平台车辆不同类型告警信息的总览数据。</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报警设置</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可以针对不同的场景和业务流程设置不同的告警规则条件，同时还可以针对短信提醒规则、数据上报规则、告警时效等参数进行设置。</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车辆报警</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包括超速报警、离线报警、未审批出车报警、断电报警等几种报警类型的业务数据的统计和呈现。</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全省一张网</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通过一张地图实现所有车辆在一张网中定位和呈现，也是体现省市县数据互通的一种场景；</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监督分析</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包括车辆统计、订单统计、历史统计等：可以对车辆数据进行统计；可按照单位部门、车辆类型等维度实现车辆统计，按照车辆的性质分类、车辆的类型进行统计；对产生的订单数据进行不同维度的统计分析，可按照出行次数、区域订单数、时间等维度进行统计，可按照数量进行排行；对车辆的使用频率进行统计和分析，按照使用率进行排行；</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用车申请</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支持在线申请公务用车流程，满足本单位用车、跨单位用车等不同场景下的流程需要；支持对于任务型场景下的用车需求，满足应急公务、执法执勤等特殊场景下的用车申请流程</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车辆监控</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支持在一张图上实现所有车辆的位置定位；针对车辆实时位置，可进行动态车辆跟踪，查看车辆当前状态和位置以及对应的订单信息；系统提供车辆轨迹回放功能，通过查询目标车辆运行的历史时间段，在地图上勾画车辆运行轨迹，并可动态播放；</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车辆档案</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提供对所有车辆登记功能，支持信息的更新、图片上传以及信息维护等基本功能；</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车辆维护</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平台应该具备对车辆的维保记录、加油管理、油卡、年检、违章、ETC、保险等，与车辆维护相关的管理功能，可以通过平台信息了解该车辆的运行维护现状；</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驾驶员管理</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提供对驾驶员信息的维护管理功能，可对驾驶员档案进行登记和维护；同时对于驾驶员考勤，包括出勤、请假等日常工作在岗状态进行管理；</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第三方公司对接</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系统提供针对可以提供合作的社会化车辆租赁、维保、保险等第三方运营公司的信息进行新增、编辑、删除、停用等日常管理操作</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系统设置</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为保证系统正常运行，提供用户管理、权限设置、角色、流程参数等有关基础维护的相关功能；</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r>
            <w:tr>
              <w:tc>
                <w:tcPr>
                  <w:tcW w:type="dxa" w:w="358"/>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手机客户端软件</w:t>
                  </w:r>
                </w:p>
              </w:tc>
              <w:tc>
                <w:tcPr>
                  <w:tcW w:type="dxa" w:w="358"/>
                  <w:vMerge w:val="restart"/>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手机APP</w:t>
                  </w:r>
                </w:p>
              </w:tc>
              <w:tc>
                <w:tcPr>
                  <w:tcW w:type="dxa" w:w="1432"/>
                  <w:tcBorders>
                    <w:top w:val="none" w:color="000000" w:sz="4"/>
                    <w:left w:val="none" w:color="000000" w:sz="4"/>
                    <w:bottom w:val="non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实现驾驶员账号口令登录，在线任务操作，通过手机APP实现接单、执行任务、提交车辆产生费用、入库操作；在线申请维修、保养，在线申请请假、休假，打卡签到操作，实现任务导航功能等。</w:t>
                  </w:r>
                </w:p>
              </w:tc>
              <w:tc>
                <w:tcPr>
                  <w:tcW w:type="dxa" w:w="202"/>
                  <w:vMerge w:val="restart"/>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1</w:t>
                  </w:r>
                </w:p>
              </w:tc>
              <w:tc>
                <w:tcPr>
                  <w:tcW w:type="dxa" w:w="202"/>
                  <w:vMerge w:val="restart"/>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套</w:t>
                  </w:r>
                </w:p>
              </w:tc>
            </w:tr>
            <w:tr>
              <w:tc>
                <w:tcPr>
                  <w:tcW w:type="dxa" w:w="358"/>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管理人员通过账号、口令登录，实现订单多级在线审批，车辆总体位置监控、单车任务跟踪、历史轨迹回放、费用核实、统计分析、调度日志查看。</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vMerge w:val="restart"/>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微信小程序</w:t>
                  </w:r>
                </w:p>
              </w:tc>
              <w:tc>
                <w:tcPr>
                  <w:tcW w:type="dxa" w:w="1432"/>
                  <w:tcBorders>
                    <w:top w:val="none" w:color="000000" w:sz="4"/>
                    <w:left w:val="none" w:color="000000" w:sz="4"/>
                    <w:bottom w:val="non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实现驾驶员账号口令登录，在线任务操作，通过手机APP实现接单、执行任务、提交车辆产生费用、入库操作；在线申请维修、保养，在线申请请假、休假，打卡签到操作，实现任务导航功能等。</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管理人员通过账号、口令登录，实现订单多级在线审批，车辆总体位置监控、单车任务跟踪、历史轨迹回放、费用核实、统计分析、调度日志查看。</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r>
            <w:tr>
              <w:tc>
                <w:tcPr>
                  <w:tcW w:type="dxa" w:w="2552"/>
                  <w:gridSpan w:val="5"/>
                  <w:tcBorders>
                    <w:top w:val="none" w:color="000000" w:sz="4"/>
                    <w:left w:val="single" w:color="000000" w:sz="4"/>
                    <w:bottom w:val="single" w:color="000000" w:sz="4"/>
                    <w:right w:val="single" w:color="000000" w:sz="4"/>
                  </w:tcBorders>
                  <w:shd w:fill="D8D8D8"/>
                  <w:tcMar>
                    <w:top w:type="dxa" w:w="15"/>
                    <w:left w:type="dxa" w:w="15"/>
                    <w:right w:type="dxa" w:w="15"/>
                  </w:tcMar>
                  <w:vAlign w:val="top"/>
                </w:tcPr>
                <w:p>
                  <w:pPr>
                    <w:pStyle w:val="null3"/>
                    <w:jc w:val="both"/>
                  </w:pPr>
                  <w:r>
                    <w:rPr>
                      <w:rFonts w:ascii="仿宋_GB2312" w:hAnsi="仿宋_GB2312" w:cs="仿宋_GB2312" w:eastAsia="仿宋_GB2312"/>
                      <w:sz w:val="21"/>
                      <w:b/>
                      <w:color w:val="000000"/>
                    </w:rPr>
                    <w:t>运行维护服务</w:t>
                  </w:r>
                </w:p>
              </w:tc>
            </w:tr>
            <w:tr>
              <w:tc>
                <w:tcPr>
                  <w:tcW w:type="dxa" w:w="358"/>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b/>
                      <w:color w:val="000000"/>
                    </w:rPr>
                    <w:t>运维服务项目</w:t>
                  </w:r>
                </w:p>
              </w:tc>
              <w:tc>
                <w:tcPr>
                  <w:tcW w:type="dxa" w:w="1790"/>
                  <w:gridSpan w:val="2"/>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b/>
                      <w:color w:val="000000"/>
                    </w:rPr>
                    <w:t>要求指标或服务内容</w:t>
                  </w:r>
                </w:p>
              </w:tc>
              <w:tc>
                <w:tcPr>
                  <w:tcW w:type="dxa" w:w="202"/>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b/>
                      <w:color w:val="000000"/>
                    </w:rPr>
                    <w:t>数量</w:t>
                  </w:r>
                </w:p>
              </w:tc>
              <w:tc>
                <w:tcPr>
                  <w:tcW w:type="dxa" w:w="202"/>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b/>
                      <w:color w:val="000000"/>
                    </w:rPr>
                    <w:t>单位</w:t>
                  </w:r>
                </w:p>
              </w:tc>
            </w:tr>
            <w:tr>
              <w:tc>
                <w:tcPr>
                  <w:tcW w:type="dxa" w:w="358"/>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公务用车信息化管理服务平台维护费用</w:t>
                  </w: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网络、服务器及数据日常运维</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为防止网络安全攻击对服务器、网络、数据库进行日常维护以及可能如设备、人员操作不当引起的数据损失或设备问题，保障数据的完整性和可用性，对数据库采用实时的增量备份，并进行每日凌晨的定期全量备份，数据备份文件压缩后存放于当地环境，并做好访问权限防护，也用于必要的数据恢复</w:t>
                  </w:r>
                </w:p>
              </w:tc>
              <w:tc>
                <w:tcPr>
                  <w:tcW w:type="dxa" w:w="202"/>
                  <w:vMerge w:val="restart"/>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450</w:t>
                  </w:r>
                </w:p>
              </w:tc>
              <w:tc>
                <w:tcPr>
                  <w:tcW w:type="dxa" w:w="202"/>
                  <w:vMerge w:val="restart"/>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台</w:t>
                  </w: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系统安全管理</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提供系统及服务器漏洞扫描与防护，并提供报告</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singl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系统功能需求变更</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在使用系统的过程中，针对公务用车管理服务特点，进行系统适配需求变更及系统升级。个性化需求专项开发</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singl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硬件设备维护</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北斗定位终端检测、改装、维修、定期巡检、维护保养、设备系统升级</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singl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软件系统各项功能现场培训</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系统电脑端、APP端、小程序的不定期培训</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single" w:color="000000" w:sz="4"/>
                    <w:left w:val="none" w:color="000000" w:sz="4"/>
                    <w:bottom w:val="single" w:color="000000" w:sz="4"/>
                    <w:right w:val="single" w:color="000000" w:sz="4"/>
                  </w:tcBorders>
                </w:tcPr>
                <w:p/>
              </w:tc>
            </w:tr>
            <w:tr>
              <w:tc>
                <w:tcPr>
                  <w:tcW w:type="dxa" w:w="358"/>
                  <w:vMerge/>
                  <w:tcBorders>
                    <w:top w:val="none" w:color="000000" w:sz="4"/>
                    <w:left w:val="singl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服务台远程运维服务</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提供手机、微信群、微信等多种渠道的售后服务，为各使用单位提供7×24小时服务。</w:t>
                  </w:r>
                </w:p>
              </w:tc>
              <w:tc>
                <w:tcPr>
                  <w:tcW w:type="dxa" w:w="202"/>
                  <w:vMerge/>
                  <w:tcBorders>
                    <w:top w:val="none" w:color="000000" w:sz="4"/>
                    <w:left w:val="none" w:color="000000" w:sz="4"/>
                    <w:bottom w:val="single" w:color="000000" w:sz="4"/>
                    <w:right w:val="single" w:color="000000" w:sz="4"/>
                  </w:tcBorders>
                </w:tcPr>
                <w:p/>
              </w:tc>
              <w:tc>
                <w:tcPr>
                  <w:tcW w:type="dxa" w:w="202"/>
                  <w:vMerge/>
                  <w:tcBorders>
                    <w:top w:val="single" w:color="000000" w:sz="4"/>
                    <w:left w:val="non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SIM卡流量费</w:t>
                  </w: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物联网SIM卡流量费</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物联网卡移动数据通讯及流量费，用于车辆定位监控系统、设备远程升级维护所有数据通讯</w:t>
                  </w:r>
                </w:p>
              </w:tc>
              <w:tc>
                <w:tcPr>
                  <w:tcW w:type="dxa" w:w="20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450</w:t>
                  </w:r>
                </w:p>
              </w:tc>
              <w:tc>
                <w:tcPr>
                  <w:tcW w:type="dxa" w:w="20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台</w:t>
                  </w:r>
                </w:p>
              </w:tc>
            </w:tr>
            <w:tr>
              <w:tc>
                <w:tcPr>
                  <w:tcW w:type="dxa" w:w="358"/>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平台短信服务费</w:t>
                  </w: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平台短信服务费</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rFonts w:ascii="仿宋_GB2312" w:hAnsi="仿宋_GB2312" w:cs="仿宋_GB2312" w:eastAsia="仿宋_GB2312"/>
                      <w:sz w:val="21"/>
                      <w:color w:val="000000"/>
                    </w:rPr>
                    <w:t>10690专用通道短信费；用于平台系统所有用车申请、审核、调度等短信通知，会议培训通知及相关报警事件触发提醒通知等。</w:t>
                  </w:r>
                </w:p>
              </w:tc>
              <w:tc>
                <w:tcPr>
                  <w:tcW w:type="dxa" w:w="20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1</w:t>
                  </w:r>
                </w:p>
              </w:tc>
              <w:tc>
                <w:tcPr>
                  <w:tcW w:type="dxa" w:w="20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年</w:t>
                  </w:r>
                </w:p>
              </w:tc>
            </w:tr>
            <w:tr>
              <w:tc>
                <w:tcPr>
                  <w:tcW w:type="dxa" w:w="358"/>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平台云资源服务费</w:t>
                  </w:r>
                </w:p>
              </w:tc>
              <w:tc>
                <w:tcPr>
                  <w:tcW w:type="dxa" w:w="358"/>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平台云资源服务费</w:t>
                  </w:r>
                </w:p>
              </w:tc>
              <w:tc>
                <w:tcPr>
                  <w:tcW w:type="dxa" w:w="143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1"/>
                      <w:color w:val="000000"/>
                    </w:rPr>
                    <w:t>云服务器租赁：包括信息安全防护、防火墙、云服务主机、存储、网络带宽和数据灾备服务。</w:t>
                  </w:r>
                </w:p>
              </w:tc>
              <w:tc>
                <w:tcPr>
                  <w:tcW w:type="dxa" w:w="20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1</w:t>
                  </w:r>
                </w:p>
              </w:tc>
              <w:tc>
                <w:tcPr>
                  <w:tcW w:type="dxa" w:w="202"/>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1"/>
                      <w:color w:val="000000"/>
                    </w:rPr>
                    <w:t>年</w:t>
                  </w:r>
                </w:p>
              </w:tc>
            </w:tr>
          </w:tbl>
          <w:p>
            <w:pPr>
              <w:pStyle w:val="null3"/>
              <w:spacing w:before="345" w:after="330"/>
              <w:jc w:val="both"/>
            </w:pPr>
            <w:r>
              <w:rPr>
                <w:rFonts w:ascii="仿宋_GB2312" w:hAnsi="仿宋_GB2312" w:cs="仿宋_GB2312" w:eastAsia="仿宋_GB2312"/>
                <w:sz w:val="21"/>
                <w:b/>
                <w:color w:val="000000"/>
              </w:rPr>
              <w:t>六、实施要求：</w:t>
            </w:r>
          </w:p>
          <w:p>
            <w:pPr>
              <w:pStyle w:val="null3"/>
              <w:ind w:firstLine="560"/>
              <w:jc w:val="left"/>
            </w:pPr>
            <w:r>
              <w:rPr>
                <w:rFonts w:ascii="仿宋_GB2312" w:hAnsi="仿宋_GB2312" w:cs="仿宋_GB2312" w:eastAsia="仿宋_GB2312"/>
                <w:sz w:val="21"/>
                <w:color w:val="000000"/>
              </w:rPr>
              <w:t>实施要求：根据项目内容及采购人要求，制定总体服务方案，并组织实施。</w:t>
            </w:r>
          </w:p>
          <w:p>
            <w:pPr>
              <w:pStyle w:val="null3"/>
              <w:ind w:firstLine="560"/>
              <w:jc w:val="left"/>
            </w:pPr>
            <w:r>
              <w:rPr>
                <w:rFonts w:ascii="仿宋_GB2312" w:hAnsi="仿宋_GB2312" w:cs="仿宋_GB2312" w:eastAsia="仿宋_GB2312"/>
                <w:sz w:val="21"/>
                <w:color w:val="000000"/>
              </w:rPr>
              <w:t>服务地点：采购人指定的地点。</w:t>
            </w:r>
          </w:p>
          <w:p>
            <w:pPr>
              <w:pStyle w:val="null3"/>
              <w:jc w:val="left"/>
            </w:pPr>
            <w:r>
              <w:rPr>
                <w:rFonts w:ascii="仿宋_GB2312" w:hAnsi="仿宋_GB2312" w:cs="仿宋_GB2312" w:eastAsia="仿宋_GB2312"/>
                <w:sz w:val="21"/>
                <w:b/>
                <w:color w:val="000000"/>
              </w:rPr>
              <w:t>七、安装、调试及人员培训：</w:t>
            </w:r>
          </w:p>
          <w:p>
            <w:pPr>
              <w:pStyle w:val="null3"/>
              <w:ind w:firstLine="560"/>
              <w:jc w:val="left"/>
            </w:pPr>
            <w:r>
              <w:rPr>
                <w:rFonts w:ascii="仿宋_GB2312" w:hAnsi="仿宋_GB2312" w:cs="仿宋_GB2312" w:eastAsia="仿宋_GB2312"/>
                <w:sz w:val="21"/>
                <w:color w:val="000000"/>
              </w:rPr>
              <w:t>成交供应商负责服务的安装、调试及使用单位人员的培训。</w:t>
            </w:r>
          </w:p>
          <w:p>
            <w:pPr>
              <w:pStyle w:val="null3"/>
              <w:jc w:val="left"/>
            </w:pPr>
            <w:r>
              <w:rPr>
                <w:rFonts w:ascii="仿宋_GB2312" w:hAnsi="仿宋_GB2312" w:cs="仿宋_GB2312" w:eastAsia="仿宋_GB2312"/>
                <w:sz w:val="21"/>
                <w:b/>
                <w:color w:val="000000"/>
              </w:rPr>
              <w:t>八、付款方式：</w:t>
            </w:r>
          </w:p>
          <w:p>
            <w:pPr>
              <w:pStyle w:val="null3"/>
              <w:ind w:firstLine="560"/>
              <w:jc w:val="left"/>
            </w:pPr>
            <w:r>
              <w:rPr>
                <w:rFonts w:ascii="仿宋_GB2312" w:hAnsi="仿宋_GB2312" w:cs="仿宋_GB2312" w:eastAsia="仿宋_GB2312"/>
                <w:sz w:val="21"/>
                <w:color w:val="000000"/>
              </w:rPr>
              <w:t>双方在合同中自行商议。</w:t>
            </w:r>
          </w:p>
          <w:p>
            <w:pPr>
              <w:pStyle w:val="null3"/>
              <w:jc w:val="left"/>
            </w:pPr>
            <w:r>
              <w:rPr>
                <w:rFonts w:ascii="仿宋_GB2312" w:hAnsi="仿宋_GB2312" w:cs="仿宋_GB2312" w:eastAsia="仿宋_GB2312"/>
                <w:sz w:val="21"/>
                <w:b/>
                <w:color w:val="000000"/>
              </w:rPr>
              <w:t>九、质量保证</w:t>
            </w:r>
          </w:p>
          <w:p>
            <w:pPr>
              <w:pStyle w:val="null3"/>
              <w:ind w:firstLine="548"/>
              <w:jc w:val="both"/>
            </w:pPr>
            <w:r>
              <w:rPr>
                <w:rFonts w:ascii="仿宋_GB2312" w:hAnsi="仿宋_GB2312" w:cs="仿宋_GB2312" w:eastAsia="仿宋_GB2312"/>
                <w:sz w:val="21"/>
                <w:color w:val="000000"/>
              </w:rPr>
              <w:t>1、</w:t>
            </w:r>
            <w:r>
              <w:rPr>
                <w:rFonts w:ascii="仿宋_GB2312" w:hAnsi="仿宋_GB2312" w:cs="仿宋_GB2312" w:eastAsia="仿宋_GB2312"/>
                <w:sz w:val="21"/>
                <w:b/>
                <w:color w:val="000000"/>
              </w:rPr>
              <w:t>质保期：</w:t>
            </w:r>
            <w:r>
              <w:rPr>
                <w:rFonts w:ascii="仿宋_GB2312" w:hAnsi="仿宋_GB2312" w:cs="仿宋_GB2312" w:eastAsia="仿宋_GB2312"/>
                <w:sz w:val="21"/>
                <w:b/>
                <w:color w:val="000000"/>
                <w:u w:val="single"/>
              </w:rPr>
              <w:t>终验合格后</w:t>
            </w:r>
            <w:r>
              <w:rPr>
                <w:rFonts w:ascii="仿宋_GB2312" w:hAnsi="仿宋_GB2312" w:cs="仿宋_GB2312" w:eastAsia="仿宋_GB2312"/>
                <w:sz w:val="21"/>
                <w:b/>
                <w:color w:val="000000"/>
                <w:u w:val="single"/>
              </w:rPr>
              <w:t>12个月。</w:t>
            </w:r>
          </w:p>
          <w:p>
            <w:pPr>
              <w:pStyle w:val="null3"/>
              <w:ind w:firstLine="551"/>
              <w:jc w:val="both"/>
            </w:pPr>
            <w:r>
              <w:rPr>
                <w:rFonts w:ascii="仿宋_GB2312" w:hAnsi="仿宋_GB2312" w:cs="仿宋_GB2312" w:eastAsia="仿宋_GB2312"/>
                <w:sz w:val="21"/>
                <w:b/>
                <w:color w:val="000000"/>
                <w:u w:val="single"/>
              </w:rPr>
              <w:t>软件产品终身免费维护升级，技术参数中如有另行规定的按技术参数要求质保。国家有规定的且优于招标文件的以国家规定为准。</w:t>
            </w:r>
            <w:r>
              <w:rPr>
                <w:rFonts w:ascii="仿宋_GB2312" w:hAnsi="仿宋_GB2312" w:cs="仿宋_GB2312" w:eastAsia="仿宋_GB2312"/>
                <w:sz w:val="21"/>
                <w:color w:val="000000"/>
              </w:rPr>
              <w:t>中标人承诺的质保时间超过招标文件要求的，按其承诺时间质保。</w:t>
            </w:r>
          </w:p>
          <w:p>
            <w:pPr>
              <w:pStyle w:val="null3"/>
              <w:ind w:firstLine="548"/>
              <w:jc w:val="both"/>
            </w:pPr>
            <w:r>
              <w:rPr>
                <w:rFonts w:ascii="仿宋_GB2312" w:hAnsi="仿宋_GB2312" w:cs="仿宋_GB2312" w:eastAsia="仿宋_GB2312"/>
                <w:sz w:val="21"/>
                <w:color w:val="000000"/>
              </w:rPr>
              <w:t>2、中标人承诺的质保期起始时间为终验合格之日。</w:t>
            </w:r>
          </w:p>
          <w:p>
            <w:pPr>
              <w:pStyle w:val="null3"/>
              <w:ind w:firstLine="548"/>
              <w:jc w:val="both"/>
            </w:pPr>
            <w:r>
              <w:rPr>
                <w:rFonts w:ascii="仿宋_GB2312" w:hAnsi="仿宋_GB2312" w:cs="仿宋_GB2312" w:eastAsia="仿宋_GB2312"/>
                <w:sz w:val="21"/>
                <w:color w:val="000000"/>
              </w:rPr>
              <w:t>3、所有产品质量必须符合国家有关规范和相关政策。所有产品必须是未使用过的新产品，质量优良、渠道正当，配置合理。</w:t>
            </w:r>
          </w:p>
          <w:p>
            <w:pPr>
              <w:pStyle w:val="null3"/>
              <w:ind w:firstLine="548"/>
              <w:jc w:val="both"/>
            </w:pPr>
            <w:r>
              <w:rPr>
                <w:rFonts w:ascii="仿宋_GB2312" w:hAnsi="仿宋_GB2312" w:cs="仿宋_GB2312" w:eastAsia="仿宋_GB2312"/>
                <w:sz w:val="21"/>
                <w:color w:val="000000"/>
              </w:rPr>
              <w:t>4、质保期出现的质量问题由中标人负责解决并承担所有费用。质保期后提供终身维修，维修时免收维修人工费，若需更换配件，价格给予优惠。</w:t>
            </w:r>
          </w:p>
          <w:p>
            <w:pPr>
              <w:pStyle w:val="null3"/>
              <w:ind w:firstLine="560"/>
              <w:jc w:val="both"/>
            </w:pPr>
            <w:r>
              <w:rPr>
                <w:rFonts w:ascii="仿宋_GB2312" w:hAnsi="仿宋_GB2312" w:cs="仿宋_GB2312" w:eastAsia="仿宋_GB2312"/>
                <w:sz w:val="21"/>
                <w:color w:val="000000"/>
              </w:rPr>
              <w:t>5、质量保证：供应商提供的服务，应全面满足单一来源文件的要求，单一来源文件未明确要求的内容，供应商须按采购人的补充要求为准。</w:t>
            </w:r>
          </w:p>
          <w:p>
            <w:pPr>
              <w:pStyle w:val="null3"/>
              <w:jc w:val="left"/>
            </w:pPr>
            <w:r>
              <w:rPr>
                <w:rFonts w:ascii="仿宋_GB2312" w:hAnsi="仿宋_GB2312" w:cs="仿宋_GB2312" w:eastAsia="仿宋_GB2312"/>
                <w:sz w:val="21"/>
                <w:b/>
                <w:color w:val="000000"/>
              </w:rPr>
              <w:t>十、验</w:t>
            </w:r>
            <w:r>
              <w:rPr>
                <w:rFonts w:ascii="仿宋_GB2312" w:hAnsi="仿宋_GB2312" w:cs="仿宋_GB2312" w:eastAsia="仿宋_GB2312"/>
                <w:sz w:val="21"/>
                <w:b/>
                <w:color w:val="000000"/>
              </w:rPr>
              <w:t>收</w:t>
            </w:r>
            <w:r>
              <w:rPr>
                <w:rFonts w:ascii="仿宋_GB2312" w:hAnsi="仿宋_GB2312" w:cs="仿宋_GB2312" w:eastAsia="仿宋_GB2312"/>
                <w:sz w:val="21"/>
                <w:b/>
                <w:color w:val="000000"/>
              </w:rPr>
              <w:t>:</w:t>
            </w:r>
          </w:p>
          <w:p>
            <w:pPr>
              <w:pStyle w:val="null3"/>
              <w:ind w:firstLine="560"/>
              <w:jc w:val="both"/>
            </w:pPr>
            <w:r>
              <w:rPr>
                <w:rFonts w:ascii="仿宋_GB2312" w:hAnsi="仿宋_GB2312" w:cs="仿宋_GB2312" w:eastAsia="仿宋_GB2312"/>
                <w:sz w:val="21"/>
                <w:color w:val="000000"/>
              </w:rPr>
              <w:t>1、本项目由西安市临潼区机关事务服务中心相关部门对项目进行验收。</w:t>
            </w:r>
          </w:p>
          <w:p>
            <w:pPr>
              <w:pStyle w:val="null3"/>
              <w:ind w:firstLine="560"/>
              <w:jc w:val="both"/>
            </w:pPr>
            <w:r>
              <w:rPr>
                <w:rFonts w:ascii="仿宋_GB2312" w:hAnsi="仿宋_GB2312" w:cs="仿宋_GB2312" w:eastAsia="仿宋_GB2312"/>
                <w:sz w:val="21"/>
                <w:color w:val="000000"/>
              </w:rPr>
              <w:t>2、验收标准：按单一来源文件、单一来源响应文件及澄清函、项目检查情况等综合指标进行验收。各项指标均应符合验收标准及要求。</w:t>
            </w:r>
          </w:p>
          <w:p>
            <w:pPr>
              <w:pStyle w:val="null3"/>
              <w:ind w:firstLine="560"/>
              <w:jc w:val="both"/>
            </w:pPr>
            <w:r>
              <w:rPr>
                <w:rFonts w:ascii="仿宋_GB2312" w:hAnsi="仿宋_GB2312" w:cs="仿宋_GB2312" w:eastAsia="仿宋_GB2312"/>
                <w:sz w:val="21"/>
                <w:color w:val="000000"/>
              </w:rPr>
              <w:t>3、验收合格后，填写验收单，双方签字生效。</w:t>
            </w:r>
          </w:p>
          <w:p>
            <w:pPr>
              <w:pStyle w:val="null3"/>
              <w:ind w:firstLine="560"/>
              <w:jc w:val="both"/>
            </w:pPr>
            <w:r>
              <w:rPr>
                <w:rFonts w:ascii="仿宋_GB2312" w:hAnsi="仿宋_GB2312" w:cs="仿宋_GB2312" w:eastAsia="仿宋_GB2312"/>
                <w:sz w:val="21"/>
                <w:color w:val="000000"/>
              </w:rPr>
              <w:t>4、验收依据：</w:t>
            </w:r>
            <w:r>
              <w:rPr>
                <w:rFonts w:ascii="仿宋_GB2312" w:hAnsi="仿宋_GB2312" w:cs="仿宋_GB2312" w:eastAsia="仿宋_GB2312"/>
                <w:sz w:val="21"/>
                <w:color w:val="000000"/>
              </w:rPr>
              <w:t>（</w:t>
            </w:r>
            <w:r>
              <w:rPr>
                <w:rFonts w:ascii="仿宋_GB2312" w:hAnsi="仿宋_GB2312" w:cs="仿宋_GB2312" w:eastAsia="仿宋_GB2312"/>
                <w:sz w:val="21"/>
                <w:color w:val="000000"/>
              </w:rPr>
              <w:t>a）合同文本；</w:t>
            </w:r>
            <w:r>
              <w:rPr>
                <w:rFonts w:ascii="仿宋_GB2312" w:hAnsi="仿宋_GB2312" w:cs="仿宋_GB2312" w:eastAsia="仿宋_GB2312"/>
                <w:sz w:val="21"/>
                <w:color w:val="000000"/>
              </w:rPr>
              <w:t>（</w:t>
            </w:r>
            <w:r>
              <w:rPr>
                <w:rFonts w:ascii="仿宋_GB2312" w:hAnsi="仿宋_GB2312" w:cs="仿宋_GB2312" w:eastAsia="仿宋_GB2312"/>
                <w:sz w:val="21"/>
                <w:color w:val="000000"/>
              </w:rPr>
              <w:t>b）单一来源文件及澄清函、单一来源响应文件；</w:t>
            </w:r>
            <w:r>
              <w:rPr>
                <w:rFonts w:ascii="仿宋_GB2312" w:hAnsi="仿宋_GB2312" w:cs="仿宋_GB2312" w:eastAsia="仿宋_GB2312"/>
                <w:sz w:val="21"/>
                <w:color w:val="000000"/>
              </w:rPr>
              <w:t>（</w:t>
            </w:r>
            <w:r>
              <w:rPr>
                <w:rFonts w:ascii="仿宋_GB2312" w:hAnsi="仿宋_GB2312" w:cs="仿宋_GB2312" w:eastAsia="仿宋_GB2312"/>
                <w:sz w:val="21"/>
                <w:color w:val="000000"/>
              </w:rPr>
              <w:t>c）国家和行业制定的相应的标准和规范；</w:t>
            </w:r>
            <w:r>
              <w:rPr>
                <w:rFonts w:ascii="仿宋_GB2312" w:hAnsi="仿宋_GB2312" w:cs="仿宋_GB2312" w:eastAsia="仿宋_GB2312"/>
                <w:sz w:val="21"/>
                <w:color w:val="000000"/>
              </w:rPr>
              <w:t>（</w:t>
            </w:r>
            <w:r>
              <w:rPr>
                <w:rFonts w:ascii="仿宋_GB2312" w:hAnsi="仿宋_GB2312" w:cs="仿宋_GB2312" w:eastAsia="仿宋_GB2312"/>
                <w:sz w:val="21"/>
                <w:color w:val="000000"/>
              </w:rPr>
              <w:t>d）验收清单。</w:t>
            </w:r>
          </w:p>
          <w:p>
            <w:pPr>
              <w:pStyle w:val="null3"/>
              <w:jc w:val="left"/>
            </w:pPr>
            <w:r>
              <w:rPr>
                <w:rFonts w:ascii="仿宋_GB2312" w:hAnsi="仿宋_GB2312" w:cs="仿宋_GB2312" w:eastAsia="仿宋_GB2312"/>
                <w:sz w:val="21"/>
                <w:b/>
                <w:color w:val="000000"/>
              </w:rPr>
              <w:t>十</w:t>
            </w: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、合同实施：</w:t>
            </w:r>
          </w:p>
          <w:p>
            <w:pPr>
              <w:pStyle w:val="null3"/>
              <w:ind w:firstLine="560"/>
              <w:jc w:val="both"/>
            </w:pPr>
            <w:r>
              <w:rPr>
                <w:rFonts w:ascii="仿宋_GB2312" w:hAnsi="仿宋_GB2312" w:cs="仿宋_GB2312" w:eastAsia="仿宋_GB2312"/>
                <w:sz w:val="21"/>
                <w:color w:val="000000"/>
              </w:rPr>
              <w:t>1、成交人应在合同签订后安排人员（项目组成人员简历表所列）与使用单位就工作进行安排、部署。</w:t>
            </w:r>
          </w:p>
          <w:p>
            <w:pPr>
              <w:pStyle w:val="null3"/>
              <w:ind w:firstLine="548"/>
              <w:jc w:val="both"/>
            </w:pPr>
            <w:r>
              <w:rPr>
                <w:rFonts w:ascii="仿宋_GB2312" w:hAnsi="仿宋_GB2312" w:cs="仿宋_GB2312" w:eastAsia="仿宋_GB2312"/>
                <w:sz w:val="21"/>
                <w:color w:val="000000"/>
              </w:rPr>
              <w:t>2、若未能在交货期内完成合同规定的义务，由此对招标方造成的延误和一切损失，由成交人承担和赔偿。</w:t>
            </w:r>
          </w:p>
          <w:p>
            <w:pPr>
              <w:pStyle w:val="null3"/>
              <w:jc w:val="left"/>
            </w:pPr>
            <w:r>
              <w:rPr>
                <w:rFonts w:ascii="仿宋_GB2312" w:hAnsi="仿宋_GB2312" w:cs="仿宋_GB2312" w:eastAsia="仿宋_GB2312"/>
                <w:sz w:val="21"/>
                <w:b/>
                <w:color w:val="000000"/>
              </w:rPr>
              <w:t>十</w:t>
            </w: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、违约责任：</w:t>
            </w:r>
          </w:p>
          <w:p>
            <w:pPr>
              <w:pStyle w:val="null3"/>
              <w:ind w:firstLine="548"/>
              <w:jc w:val="both"/>
            </w:pPr>
            <w:r>
              <w:rPr>
                <w:rFonts w:ascii="仿宋_GB2312" w:hAnsi="仿宋_GB2312" w:cs="仿宋_GB2312" w:eastAsia="仿宋_GB2312"/>
                <w:sz w:val="21"/>
                <w:color w:val="000000"/>
              </w:rPr>
              <w:t>1、按《中华人民共和国民法典》中的相关条款执行。</w:t>
            </w:r>
          </w:p>
          <w:p>
            <w:pPr>
              <w:pStyle w:val="null3"/>
              <w:jc w:val="both"/>
            </w:pPr>
            <w:r>
              <w:rPr>
                <w:rFonts w:ascii="仿宋_GB2312" w:hAnsi="仿宋_GB2312" w:cs="仿宋_GB2312" w:eastAsia="仿宋_GB2312"/>
                <w:sz w:val="21"/>
                <w:color w:val="000000"/>
              </w:rPr>
              <w:t>2、未按合同要求提供产品质量不能满足技术要求，采购方有权终止合同，并对供方违约行为进行追究，同时按《中华人民共和国政府采购法》的有关规定进行处罚。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自合同签订之日起一年，本项目采取一年采购三年沿用（总计三年），实行一年一考核一签合同的办法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西安市临潼区机关事务服务中心</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满足甲方服务要求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1、本项目由西安市临潼区机关事务服务中心相关部门对项目进行验收。 2、验收标准：按单一来源文件、单一来源响应文件及澄清函、项目检查情况等综合指标进行验收。各项指标均应符合验收标准及要求。 3、验收合格后，填写验收单，双方签字生效。 4、验收依据： （a）合同文本； （b）单一来源文件及澄清函、单一来源响应文件； （c）国家和行业制定的相应的标准和规范； （d）验收清单。</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2、未按合同要求提供产品质量不能满足技术要求，采购方有权终止合同，并对供方违约行为进行追究，同时按《中华人民共和国政府采购法》的有关规定进行处罚。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特别注意： （1）供应商需要在线提交所有通过电子化交易平台实施的政府采购项目的响应文件，同时，线下提交响应文件正本壹份、副本贰套、电子版壹套（U盘一套标明供应商名称，随正本密封）。线下纸质文件递交截止时间：同在线递交电子响应文件截止时间一致；线下纸质文件递交地点：陕西省西安市未央区凤城七路长和国际D座20层。 根据《陕西省财政厅关于进一步优化政府采购营商环境有关事项的通知》（陕财办采〔2023〕4号）规定，采购人应在成交通知书发出之日起25日与成交供应商签订采购合同，因采购系统文件编制有所限制，文件前后不一致以此处为准。 其他事项： （1）供应商须知 1、本项目采用电子化投标方式。供应商须使用数字认证证书（CA锁）对电子投标文件进行签章、加密、递 交及开标时解密等相关招投标事宜。开标时，陕西省省级单位政府采购中心现场工作人员将根据项目供应商数约定解密时长， 供应商应在规定时间内，使用电子投标文件加密时所用的数字认证证书（CA锁）在开标室的解密机上自行解密电子投标文 件。如因供应商自身原因（如迟到、未携带数字认证证书等原因）未在规定时间内解密的，视为投标无效。 2、制作电子投标 文件。供应商须在“全国公共资源交易中心平台（陕西省）（http://www.sxggzyjy.cn/）”的“服务指南”栏目“下载专区”中，免费下载“陕西省公共资源交易平台政府采购电子标书制作工具”，并升级至最新版本，使用该客户端制作电子投标文件，制作扩展名为“.SXSTF”的电子投标文件。” 3、递交电子投标文件。登录全国公共资源交易中心平台（陕西省） （http://www.sxggzyjy.cn/），选择“电子交易平台—陕西政府采购交易系统—企业端”进行登录，登录后选择“交易乙方”身 份进入，进入菜单“采购业务—我的项目—项目流程—上传投标文件”，上传加密的电子投标文件。上传成功后，电子化平台将 予以记录。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①2024年度财务审计报告（成立时间至提交响应文件截止时间不足一年的可提供成立后任意时段的资产负债表）或②其基本存款账户开户银行出具的资信证明及基本存款账户的开户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 （www.ccgp.gov.cn）查询记录</w:t>
            </w:r>
          </w:p>
        </w:tc>
        <w:tc>
          <w:tcPr>
            <w:tcW w:type="dxa" w:w="3322"/>
          </w:tcPr>
          <w:p>
            <w:pPr>
              <w:pStyle w:val="null3"/>
            </w:pPr>
            <w:r>
              <w:rPr>
                <w:rFonts w:ascii="仿宋_GB2312" w:hAnsi="仿宋_GB2312" w:cs="仿宋_GB2312" w:eastAsia="仿宋_GB2312"/>
              </w:rPr>
              <w:t>未被列入“信用中国”网站(www.creditchina.gov.cn)失信被执行人名单、重大税收违法失信主体、未被列入“中国政府采购网”（www.ccgp.gov.cn）政府采购严重违法失信行为记录名单（以现场查询为准）；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法定代表人授权书及被授权人身份证（法定代表人直接投标只须提供其身份证明）；供应商需在项目电子化交易系统中按要求上传相应证明文件并进行电子签章。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本项目不允许联合体投标（提供承诺函）；供应商需在项目电子化交易系统中按要求上传相应证明文件并进行电子签章。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商务应答表 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（1）响应报价表填写符合要求；（2）响应报 价未超出采购预算（谈判文件有最高限价的， 报价未超过最高限价）。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服务期及服务地点、支付方式</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详见附件：招标文件合同.docx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