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02F6B8">
      <w:pPr>
        <w:pStyle w:val="3"/>
        <w:outlineLvl w:val="0"/>
        <w:rPr>
          <w:rFonts w:hint="eastAsia" w:ascii="仿宋" w:hAnsi="仿宋" w:eastAsia="仿宋" w:cs="仿宋"/>
          <w:b w:val="0"/>
          <w:bCs w:val="0"/>
          <w:sz w:val="28"/>
          <w:szCs w:val="28"/>
        </w:rPr>
      </w:pPr>
      <w:r>
        <w:rPr>
          <w:rFonts w:hint="eastAsia" w:ascii="仿宋" w:hAnsi="仿宋" w:eastAsia="仿宋" w:cs="仿宋"/>
          <w:b w:val="0"/>
          <w:bCs w:val="0"/>
          <w:sz w:val="28"/>
          <w:szCs w:val="28"/>
        </w:rPr>
        <w:t>包</w:t>
      </w:r>
      <w:r>
        <w:rPr>
          <w:rFonts w:hint="eastAsia" w:ascii="仿宋" w:hAnsi="仿宋" w:eastAsia="仿宋" w:cs="仿宋"/>
          <w:b w:val="0"/>
          <w:bCs w:val="0"/>
          <w:sz w:val="28"/>
          <w:szCs w:val="28"/>
          <w:lang w:val="en-US" w:eastAsia="zh-CN"/>
        </w:rPr>
        <w:t>1、2</w:t>
      </w:r>
      <w:r>
        <w:rPr>
          <w:rFonts w:hint="eastAsia" w:ascii="仿宋" w:hAnsi="仿宋" w:eastAsia="仿宋" w:cs="仿宋"/>
          <w:b w:val="0"/>
          <w:bCs w:val="0"/>
          <w:sz w:val="28"/>
          <w:szCs w:val="28"/>
        </w:rPr>
        <w:t>合同条款及格式</w:t>
      </w:r>
    </w:p>
    <w:p w14:paraId="2849F008">
      <w:pPr>
        <w:pStyle w:val="3"/>
        <w:rPr>
          <w:rFonts w:hint="eastAsia" w:ascii="仿宋" w:hAnsi="仿宋" w:eastAsia="仿宋" w:cs="仿宋"/>
          <w:b w:val="0"/>
          <w:bCs w:val="0"/>
          <w:szCs w:val="21"/>
        </w:rPr>
      </w:pPr>
      <w:r>
        <w:rPr>
          <w:rFonts w:hint="eastAsia" w:ascii="仿宋" w:hAnsi="仿宋" w:eastAsia="仿宋" w:cs="仿宋"/>
          <w:b w:val="0"/>
          <w:bCs w:val="0"/>
          <w:szCs w:val="21"/>
        </w:rPr>
        <w:t>(本格式条款供双方签订合同参考，采购人可根据项目的实际情况增减条款和内容)</w:t>
      </w:r>
    </w:p>
    <w:p w14:paraId="07CA0C51">
      <w:pPr>
        <w:spacing w:line="360" w:lineRule="auto"/>
        <w:jc w:val="center"/>
        <w:rPr>
          <w:rFonts w:hint="eastAsia" w:ascii="仿宋" w:hAnsi="仿宋" w:eastAsia="仿宋" w:cs="仿宋"/>
          <w:b w:val="0"/>
          <w:bCs w:val="0"/>
          <w:szCs w:val="21"/>
        </w:rPr>
      </w:pPr>
      <w:r>
        <w:rPr>
          <w:rFonts w:hint="eastAsia" w:ascii="仿宋" w:hAnsi="仿宋" w:eastAsia="仿宋" w:cs="仿宋"/>
          <w:b w:val="0"/>
          <w:bCs w:val="0"/>
          <w:szCs w:val="21"/>
        </w:rPr>
        <w:t>（仅供参考，均适用于包</w:t>
      </w:r>
      <w:r>
        <w:rPr>
          <w:rFonts w:hint="eastAsia" w:ascii="仿宋" w:hAnsi="仿宋" w:eastAsia="仿宋" w:cs="仿宋"/>
          <w:b w:val="0"/>
          <w:bCs w:val="0"/>
          <w:szCs w:val="21"/>
          <w:lang w:val="en-US" w:eastAsia="zh-CN"/>
        </w:rPr>
        <w:t>1、2</w:t>
      </w:r>
      <w:r>
        <w:rPr>
          <w:rFonts w:hint="eastAsia" w:ascii="仿宋" w:hAnsi="仿宋" w:eastAsia="仿宋" w:cs="仿宋"/>
          <w:b w:val="0"/>
          <w:bCs w:val="0"/>
          <w:szCs w:val="21"/>
        </w:rPr>
        <w:t>）</w:t>
      </w:r>
    </w:p>
    <w:p w14:paraId="70209D25">
      <w:pPr>
        <w:pStyle w:val="3"/>
        <w:spacing w:line="420" w:lineRule="exact"/>
        <w:ind w:firstLine="420" w:firstLineChars="200"/>
        <w:jc w:val="left"/>
        <w:rPr>
          <w:rFonts w:hint="eastAsia" w:ascii="仿宋" w:hAnsi="仿宋" w:eastAsia="仿宋" w:cs="仿宋"/>
          <w:b w:val="0"/>
          <w:bCs w:val="0"/>
        </w:rPr>
      </w:pPr>
      <w:r>
        <w:rPr>
          <w:rFonts w:hint="eastAsia" w:ascii="仿宋" w:hAnsi="仿宋" w:eastAsia="仿宋" w:cs="仿宋"/>
          <w:b w:val="0"/>
          <w:bCs w:val="0"/>
          <w:u w:val="single"/>
          <w:lang w:val="en-US" w:eastAsia="zh-CN"/>
        </w:rPr>
        <w:t>西安市临潼区教育局2025-2026学年度营养改善计划营养早餐及大宗食材采购项目</w:t>
      </w:r>
      <w:r>
        <w:rPr>
          <w:rFonts w:hint="eastAsia" w:ascii="仿宋" w:hAnsi="仿宋" w:eastAsia="仿宋" w:cs="仿宋"/>
          <w:b w:val="0"/>
          <w:bCs w:val="0"/>
        </w:rPr>
        <w:t xml:space="preserve"> (项目编号：ZXGJLTFGS-2025-011)，在西安市临潼区财政局的监督管理下，在西安市临潼区教育局的共同参与下，由</w:t>
      </w:r>
      <w:r>
        <w:rPr>
          <w:rFonts w:hint="eastAsia" w:ascii="仿宋" w:hAnsi="仿宋" w:eastAsia="仿宋" w:cs="仿宋"/>
          <w:b w:val="0"/>
          <w:bCs w:val="0"/>
          <w:szCs w:val="21"/>
        </w:rPr>
        <w:t>中昕国际项目管理有限公司</w:t>
      </w:r>
      <w:r>
        <w:rPr>
          <w:rFonts w:hint="eastAsia" w:ascii="仿宋" w:hAnsi="仿宋" w:eastAsia="仿宋" w:cs="仿宋"/>
          <w:b w:val="0"/>
          <w:bCs w:val="0"/>
        </w:rPr>
        <w:t>组织公开招标。 最终确定 (中标单位名称) （以下简称“卖方”）为本项目第（ ）</w:t>
      </w:r>
      <w:r>
        <w:rPr>
          <w:rFonts w:hint="eastAsia" w:ascii="仿宋" w:hAnsi="仿宋" w:eastAsia="仿宋" w:cs="仿宋"/>
          <w:b w:val="0"/>
          <w:bCs w:val="0"/>
          <w:lang w:val="en-US" w:eastAsia="zh-CN"/>
        </w:rPr>
        <w:t>包</w:t>
      </w:r>
      <w:r>
        <w:rPr>
          <w:rFonts w:hint="eastAsia" w:ascii="仿宋" w:hAnsi="仿宋" w:eastAsia="仿宋" w:cs="仿宋"/>
          <w:b w:val="0"/>
          <w:bCs w:val="0"/>
        </w:rPr>
        <w:t xml:space="preserve">的中标单位。 </w:t>
      </w:r>
    </w:p>
    <w:p w14:paraId="290E515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买方： </w:t>
      </w:r>
    </w:p>
    <w:p w14:paraId="47B247A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卖方：(中标单位名称) </w:t>
      </w:r>
    </w:p>
    <w:p w14:paraId="7F17244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依据《中华人民共和国民法典》和《中华人民共和国政府采购法》，买方通过公开招标采购（营养早餐），并接受了卖方以价格(中标金额大写)(中标单价)提供的产品及服务。 </w:t>
      </w:r>
    </w:p>
    <w:p w14:paraId="6F332C4F">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第一条  项目基本情况</w:t>
      </w:r>
    </w:p>
    <w:p w14:paraId="6DF6D73A">
      <w:pPr>
        <w:keepNext w:val="0"/>
        <w:keepLines w:val="0"/>
        <w:pageBreakBefore w:val="0"/>
        <w:widowControl w:val="0"/>
        <w:kinsoku/>
        <w:wordWrap/>
        <w:overflowPunct/>
        <w:topLinePunct w:val="0"/>
        <w:autoSpaceDE/>
        <w:autoSpaceDN/>
        <w:bidi w:val="0"/>
        <w:adjustRightInd/>
        <w:snapToGrid/>
        <w:spacing w:line="360" w:lineRule="auto"/>
        <w:ind w:left="0" w:right="0" w:firstLine="576"/>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 xml:space="preserve">乙方负责餐配送临潼区制定学校配送营养早餐，学校约为 </w:t>
      </w:r>
      <w:r>
        <w:rPr>
          <w:rFonts w:hint="eastAsia" w:ascii="仿宋" w:hAnsi="仿宋" w:eastAsia="仿宋" w:cs="仿宋"/>
          <w:b w:val="0"/>
          <w:bCs w:val="0"/>
          <w:spacing w:val="0"/>
          <w:position w:val="0"/>
          <w:sz w:val="21"/>
          <w:szCs w:val="21"/>
          <w:u w:val="single" w:color="auto"/>
        </w:rPr>
        <w:t xml:space="preserve">    </w:t>
      </w:r>
      <w:r>
        <w:rPr>
          <w:rFonts w:hint="eastAsia" w:ascii="仿宋" w:hAnsi="仿宋" w:eastAsia="仿宋" w:cs="仿宋"/>
          <w:b w:val="0"/>
          <w:bCs w:val="0"/>
          <w:spacing w:val="0"/>
          <w:position w:val="0"/>
          <w:sz w:val="21"/>
          <w:szCs w:val="21"/>
        </w:rPr>
        <w:t xml:space="preserve"> 所，涉及学生约</w:t>
      </w:r>
    </w:p>
    <w:p w14:paraId="680BF505">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u w:val="single" w:color="auto"/>
        </w:rPr>
        <w:t xml:space="preserve">       </w:t>
      </w:r>
      <w:r>
        <w:rPr>
          <w:rFonts w:hint="eastAsia" w:ascii="仿宋" w:hAnsi="仿宋" w:eastAsia="仿宋" w:cs="仿宋"/>
          <w:b w:val="0"/>
          <w:bCs w:val="0"/>
          <w:spacing w:val="0"/>
          <w:position w:val="0"/>
          <w:sz w:val="21"/>
          <w:szCs w:val="21"/>
        </w:rPr>
        <w:t xml:space="preserve"> 人，依据招标结果，中标价格为</w:t>
      </w:r>
      <w:r>
        <w:rPr>
          <w:rFonts w:hint="eastAsia" w:ascii="仿宋" w:hAnsi="仿宋" w:eastAsia="仿宋" w:cs="仿宋"/>
          <w:b w:val="0"/>
          <w:bCs w:val="0"/>
          <w:spacing w:val="0"/>
          <w:position w:val="0"/>
          <w:sz w:val="21"/>
          <w:szCs w:val="21"/>
          <w:u w:val="single" w:color="auto"/>
        </w:rPr>
        <w:t xml:space="preserve">  </w:t>
      </w:r>
      <w:r>
        <w:rPr>
          <w:rFonts w:hint="eastAsia" w:ascii="仿宋" w:hAnsi="仿宋" w:eastAsia="仿宋" w:cs="仿宋"/>
          <w:b w:val="0"/>
          <w:bCs w:val="0"/>
          <w:spacing w:val="0"/>
          <w:position w:val="0"/>
          <w:sz w:val="21"/>
          <w:szCs w:val="21"/>
          <w:u w:val="single" w:color="auto"/>
          <w:lang w:val="en-US" w:eastAsia="zh-CN"/>
        </w:rPr>
        <w:t>4.2</w:t>
      </w:r>
      <w:r>
        <w:rPr>
          <w:rFonts w:hint="eastAsia" w:ascii="仿宋" w:hAnsi="仿宋" w:eastAsia="仿宋" w:cs="仿宋"/>
          <w:b w:val="0"/>
          <w:bCs w:val="0"/>
          <w:spacing w:val="0"/>
          <w:position w:val="0"/>
          <w:sz w:val="21"/>
          <w:szCs w:val="21"/>
        </w:rPr>
        <w:t xml:space="preserve"> 元/份</w:t>
      </w:r>
      <w:r>
        <w:rPr>
          <w:rFonts w:hint="eastAsia" w:ascii="仿宋" w:hAnsi="仿宋" w:eastAsia="仿宋" w:cs="仿宋"/>
          <w:b w:val="0"/>
          <w:bCs w:val="0"/>
          <w:spacing w:val="0"/>
          <w:position w:val="0"/>
          <w:sz w:val="21"/>
          <w:szCs w:val="21"/>
          <w:lang w:eastAsia="zh-CN"/>
        </w:rPr>
        <w:t>（</w:t>
      </w:r>
      <w:r>
        <w:rPr>
          <w:rFonts w:hint="eastAsia" w:ascii="仿宋" w:hAnsi="仿宋" w:eastAsia="仿宋" w:cs="仿宋"/>
          <w:b w:val="0"/>
          <w:bCs w:val="0"/>
          <w:spacing w:val="0"/>
          <w:position w:val="0"/>
          <w:sz w:val="21"/>
          <w:szCs w:val="21"/>
          <w:lang w:val="en-US" w:eastAsia="zh-CN"/>
        </w:rPr>
        <w:t>包含</w:t>
      </w:r>
      <w:r>
        <w:rPr>
          <w:rFonts w:hint="eastAsia" w:ascii="仿宋" w:hAnsi="仿宋" w:eastAsia="仿宋" w:cs="仿宋"/>
          <w:b w:val="0"/>
          <w:bCs w:val="0"/>
          <w:spacing w:val="0"/>
          <w:position w:val="0"/>
          <w:sz w:val="21"/>
          <w:szCs w:val="21"/>
        </w:rPr>
        <w:t>食品费用，破损换货、留样</w:t>
      </w:r>
      <w:r>
        <w:rPr>
          <w:rFonts w:hint="eastAsia" w:ascii="仿宋" w:hAnsi="仿宋" w:eastAsia="仿宋" w:cs="仿宋"/>
          <w:b w:val="0"/>
          <w:bCs w:val="0"/>
          <w:spacing w:val="0"/>
          <w:position w:val="0"/>
          <w:sz w:val="21"/>
          <w:szCs w:val="21"/>
          <w:lang w:eastAsia="zh-CN"/>
        </w:rPr>
        <w:t>、</w:t>
      </w:r>
      <w:r>
        <w:rPr>
          <w:rFonts w:hint="eastAsia" w:ascii="仿宋" w:hAnsi="仿宋" w:eastAsia="仿宋" w:cs="仿宋"/>
          <w:b w:val="0"/>
          <w:bCs w:val="0"/>
          <w:spacing w:val="0"/>
          <w:position w:val="0"/>
          <w:sz w:val="21"/>
          <w:szCs w:val="21"/>
        </w:rPr>
        <w:t>包装、运输等其他一切费用）。注： 最终结算按照供应商实际供货数量计算。</w:t>
      </w:r>
    </w:p>
    <w:p w14:paraId="7D390AE6">
      <w:pPr>
        <w:keepNext w:val="0"/>
        <w:keepLines w:val="0"/>
        <w:pageBreakBefore w:val="0"/>
        <w:widowControl w:val="0"/>
        <w:kinsoku/>
        <w:wordWrap/>
        <w:overflowPunct/>
        <w:topLinePunct w:val="0"/>
        <w:autoSpaceDE/>
        <w:autoSpaceDN/>
        <w:bidi w:val="0"/>
        <w:adjustRightInd/>
        <w:snapToGrid/>
        <w:spacing w:line="360" w:lineRule="auto"/>
        <w:ind w:left="0" w:right="0" w:firstLine="555"/>
        <w:textAlignment w:val="auto"/>
        <w:rPr>
          <w:rFonts w:hint="eastAsia" w:ascii="仿宋" w:hAnsi="仿宋" w:eastAsia="仿宋" w:cs="仿宋"/>
          <w:b w:val="0"/>
          <w:bCs w:val="0"/>
          <w:spacing w:val="0"/>
          <w:position w:val="0"/>
          <w:sz w:val="21"/>
          <w:szCs w:val="21"/>
          <w:highlight w:val="none"/>
        </w:rPr>
      </w:pPr>
      <w:r>
        <w:rPr>
          <w:rFonts w:hint="eastAsia" w:ascii="仿宋" w:hAnsi="仿宋" w:eastAsia="仿宋" w:cs="仿宋"/>
          <w:b w:val="0"/>
          <w:bCs w:val="0"/>
          <w:spacing w:val="0"/>
          <w:position w:val="0"/>
          <w:sz w:val="21"/>
          <w:szCs w:val="21"/>
        </w:rPr>
        <w:t>付款方式</w:t>
      </w:r>
      <w:r>
        <w:rPr>
          <w:rFonts w:hint="eastAsia" w:ascii="仿宋" w:hAnsi="仿宋" w:eastAsia="仿宋" w:cs="仿宋"/>
          <w:b w:val="0"/>
          <w:bCs w:val="0"/>
          <w:spacing w:val="0"/>
          <w:position w:val="0"/>
          <w:sz w:val="21"/>
          <w:szCs w:val="21"/>
          <w:highlight w:val="none"/>
        </w:rPr>
        <w:t>：</w:t>
      </w:r>
      <w:r>
        <w:rPr>
          <w:rFonts w:hint="eastAsia" w:ascii="仿宋" w:hAnsi="仿宋" w:eastAsia="仿宋" w:cs="仿宋"/>
          <w:b w:val="0"/>
          <w:bCs w:val="0"/>
          <w:spacing w:val="0"/>
          <w:position w:val="0"/>
          <w:sz w:val="21"/>
          <w:szCs w:val="21"/>
          <w:lang w:val="en-US" w:eastAsia="zh-CN"/>
        </w:rPr>
        <w:t>原则上每两个月结算一次，供应商要及时将送货清单、签过字的验收单及正规发票及时送到采购人处，双方按实际供货数量*4.2元为准结算货款，采购人在签字确认后 20 个日历日内以银行转账方式支付到供应商指定的帐户。</w:t>
      </w:r>
    </w:p>
    <w:p w14:paraId="2586EB45">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第二条  合同期限</w:t>
      </w:r>
    </w:p>
    <w:p w14:paraId="56E9E582">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lang w:val="en-US" w:eastAsia="zh-CN"/>
        </w:rPr>
        <w:t>2025-2026</w:t>
      </w:r>
      <w:r>
        <w:rPr>
          <w:rFonts w:hint="eastAsia" w:ascii="仿宋" w:hAnsi="仿宋" w:eastAsia="仿宋" w:cs="仿宋"/>
          <w:b w:val="0"/>
          <w:bCs w:val="0"/>
          <w:spacing w:val="0"/>
          <w:position w:val="0"/>
          <w:sz w:val="21"/>
          <w:szCs w:val="21"/>
        </w:rPr>
        <w:t>学年度（具体时间以实际学生在校天数和甲方通知为准）</w:t>
      </w:r>
    </w:p>
    <w:p w14:paraId="7AFB5742">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服务期限：2025-2026学年度</w:t>
      </w:r>
    </w:p>
    <w:p w14:paraId="67B5A136">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交货地点：西安市临潼区教育局指定学校</w:t>
      </w:r>
    </w:p>
    <w:p w14:paraId="63E6F4ED">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交货期限：采购人要求时间之前送至指定地点。</w:t>
      </w:r>
    </w:p>
    <w:p w14:paraId="73C4979B">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供货要求：中标单位负责每次订单所有货物的运输、保险。</w:t>
      </w:r>
    </w:p>
    <w:p w14:paraId="2764D208">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第三条  服务内容与质量标准</w:t>
      </w:r>
    </w:p>
    <w:p w14:paraId="64C52967">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lang w:eastAsia="zh-CN"/>
        </w:rPr>
        <w:t>（</w:t>
      </w:r>
      <w:r>
        <w:rPr>
          <w:rFonts w:hint="eastAsia" w:ascii="仿宋" w:hAnsi="仿宋" w:eastAsia="仿宋" w:cs="仿宋"/>
          <w:b w:val="0"/>
          <w:bCs w:val="0"/>
          <w:spacing w:val="0"/>
          <w:position w:val="0"/>
          <w:sz w:val="21"/>
          <w:szCs w:val="21"/>
          <w:lang w:val="en-US" w:eastAsia="zh-CN"/>
        </w:rPr>
        <w:t>1</w:t>
      </w:r>
      <w:r>
        <w:rPr>
          <w:rFonts w:hint="eastAsia" w:ascii="仿宋" w:hAnsi="仿宋" w:eastAsia="仿宋" w:cs="仿宋"/>
          <w:b w:val="0"/>
          <w:bCs w:val="0"/>
          <w:spacing w:val="0"/>
          <w:position w:val="0"/>
          <w:sz w:val="21"/>
          <w:szCs w:val="21"/>
          <w:lang w:eastAsia="zh-CN"/>
        </w:rPr>
        <w:t>）</w:t>
      </w:r>
      <w:r>
        <w:rPr>
          <w:rFonts w:hint="eastAsia" w:ascii="仿宋" w:hAnsi="仿宋" w:eastAsia="仿宋" w:cs="仿宋"/>
          <w:b w:val="0"/>
          <w:bCs w:val="0"/>
          <w:spacing w:val="0"/>
          <w:position w:val="0"/>
          <w:sz w:val="21"/>
          <w:szCs w:val="21"/>
        </w:rPr>
        <w:t>采购营养早餐内容及要求：</w:t>
      </w:r>
    </w:p>
    <w:p w14:paraId="46527FDB">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1）新鲜夹心面包、奶香杂粮面包：≥80 g，独立包装、保质期小于30天。</w:t>
      </w:r>
    </w:p>
    <w:p w14:paraId="41459472">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2）水果：≥100 g,带皮水果苹果、梨、香蕉、芦柑、桔子、脐橙、油桃、青枣、圣女果等。随季节可适时调整品类（水果必须经过消毒清洗，出具随检报告，确保食品安全。）</w:t>
      </w:r>
    </w:p>
    <w:p w14:paraId="6B8454EC">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3）什锦素包（核心产品）：≥90 g , 菌菇素包、包菜木耳素包、韭菜地软包、香干鸡蛋素包等，由时令蔬菜和各种辅助材料，再配以天然的调味料制作而成。</w:t>
      </w:r>
    </w:p>
    <w:p w14:paraId="302F1103">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4）精品肉包：≥90 g ，卤汁肉包、酱香肉包、 虾肉包、牛肉包、雪菜肉包等，由时令蔬菜和新鲜的五花肉及瘦肉搭配，再配以天然的调味料制作而成。</w:t>
      </w:r>
    </w:p>
    <w:p w14:paraId="0CB3570F">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5）馒头：≥60 g, 红糖馒头、南瓜馒头、黑米馒头、奶香馒头、果仁花卷、芝麻花卷、葱油花卷、五香花卷等。</w:t>
      </w:r>
    </w:p>
    <w:p w14:paraId="0D502FC8">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6）粥：≥260ml, 独立包装，红豆大米粥、南瓜小米粥、八宝粥、油茶、枣沫糊、黑芝麻糊。</w:t>
      </w:r>
    </w:p>
    <w:p w14:paraId="7B3FCE4D">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7）100%纯果汁：≥250 ml盒装三种口味；苹果汁、蜜桃汁、胡萝卜+橙子汁。</w:t>
      </w:r>
    </w:p>
    <w:p w14:paraId="5691ADDE">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8）坚果≥15g鲜坚果+果干，独立包装、不加防腐剂。</w:t>
      </w:r>
    </w:p>
    <w:p w14:paraId="4FB6E265">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注：包子：≥90 g； 花卷馒头：≥60 g；鸡蛋≥50 g；若干鹌鹑蛋≥50 g；鲜面包：≥80 g；粥：≥260ml独立包装； 100%纯果汁：≥250ml盒装；水果：≥100 g；坚果≥15 g主要果干、坚果。</w:t>
      </w:r>
    </w:p>
    <w:p w14:paraId="0BE77A06">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（2）质量要求：</w:t>
      </w:r>
    </w:p>
    <w:p w14:paraId="0EEAD2AB">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1）采购学生营养改善计划营养早餐须符合国家相关质量标准，熟食产品为符合国家规定食品质量安全标准的新鲜产品，每学生每天1份。</w:t>
      </w:r>
    </w:p>
    <w:p w14:paraId="3903C54A">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 xml:space="preserve">2）100%纯果汁须符合国家相关质量标准,优先考虑国内学生营养餐专用，须出具第三方质检机构出具的近三个月内有效质检报告，未出具的视为不合格产品。 </w:t>
      </w:r>
    </w:p>
    <w:p w14:paraId="318D6E8C">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3）所投产品的原材料（大米、面粉、食用油）质量符合国家标准，并具有第三方质检机构出具的产品检验报告。质量要求：大米：国标二等，包装袋上有注册商标及 SC 标注，有检验合格证、生产日期和保质期；面粉：精制粉，包装袋上有注册商标及 SC 标注，有检验合格证、生产日期和保质期；食用油：标准三级或以上，非转基因压榨菜籽油，包装袋上有注册商标及 SC 标注，有检验合格证、生产日期和保质期。</w:t>
      </w:r>
    </w:p>
    <w:p w14:paraId="3E9404C6">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（3）包装要求：</w:t>
      </w:r>
    </w:p>
    <w:p w14:paraId="50EB5498">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供应商所提供的产品必须是合规产品，</w:t>
      </w:r>
      <w:r>
        <w:rPr>
          <w:rFonts w:hint="eastAsia" w:ascii="仿宋" w:hAnsi="仿宋" w:eastAsia="仿宋" w:cs="仿宋"/>
          <w:b w:val="0"/>
          <w:bCs w:val="0"/>
          <w:sz w:val="21"/>
          <w:szCs w:val="21"/>
        </w:rPr>
        <w:t>熟食产品为符合国家规定食品质量安全标准的新鲜食品，产品包装须是符合国家规定标准的环保材料。</w:t>
      </w:r>
    </w:p>
    <w:p w14:paraId="119C31B8">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根据食品安全有关规定，集体用餐配送的食品，烧熟至食用的间隔时间（保质期）为4小时，烧熟后2小时的食品中心温度为60度以上，要求投标人有生产加工场地，须提供生产场地详细证明材料。</w:t>
      </w:r>
    </w:p>
    <w:p w14:paraId="6BD66C4F">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面包、蛋糕</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rPr>
        <w:t>纯果汁、坚果为独立包装，且产品包装上必须有完好的生产厂家、规格、出厂日期、保质期等有效信息。</w:t>
      </w:r>
    </w:p>
    <w:p w14:paraId="20322531">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粥类必须为无菌、环保、塑封包装。</w:t>
      </w:r>
    </w:p>
    <w:p w14:paraId="6C3C89E5">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水果必须经过消毒清洗，出具随检报告，确保食品安全。</w:t>
      </w:r>
      <w:r>
        <w:rPr>
          <w:rFonts w:hint="eastAsia" w:ascii="仿宋" w:hAnsi="仿宋" w:eastAsia="仿宋" w:cs="仿宋"/>
          <w:b w:val="0"/>
          <w:bCs w:val="0"/>
          <w:sz w:val="21"/>
          <w:szCs w:val="21"/>
          <w:lang w:val="en-US" w:eastAsia="zh-CN"/>
        </w:rPr>
        <w:t>（须提供水果农药残留物检测报告）</w:t>
      </w:r>
    </w:p>
    <w:p w14:paraId="1A013171">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（4）配送要求：</w:t>
      </w:r>
    </w:p>
    <w:p w14:paraId="3E82E386">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自合同签订之日起，每次配送产品必须在出厂后2小时内须送到辖区实施营养计划营养早餐的每所学校， (具体时间以临潼区教育局通知为准)，每天一次，禁止超量配送。每次每校配送量应包含留样</w:t>
      </w:r>
      <w:r>
        <w:rPr>
          <w:rFonts w:hint="eastAsia" w:ascii="仿宋" w:hAnsi="仿宋" w:eastAsia="仿宋" w:cs="仿宋"/>
          <w:b w:val="0"/>
          <w:bCs w:val="0"/>
          <w:spacing w:val="0"/>
          <w:position w:val="0"/>
          <w:sz w:val="21"/>
          <w:szCs w:val="21"/>
          <w:lang w:val="en-US" w:eastAsia="zh-CN"/>
        </w:rPr>
        <w:t>1</w:t>
      </w:r>
      <w:r>
        <w:rPr>
          <w:rFonts w:hint="eastAsia" w:ascii="仿宋" w:hAnsi="仿宋" w:eastAsia="仿宋" w:cs="仿宋"/>
          <w:b w:val="0"/>
          <w:bCs w:val="0"/>
          <w:spacing w:val="0"/>
          <w:position w:val="0"/>
          <w:sz w:val="21"/>
          <w:szCs w:val="21"/>
        </w:rPr>
        <w:t>份</w:t>
      </w:r>
      <w:r>
        <w:rPr>
          <w:rFonts w:hint="eastAsia" w:ascii="仿宋" w:hAnsi="仿宋" w:eastAsia="仿宋" w:cs="仿宋"/>
          <w:b w:val="0"/>
          <w:bCs w:val="0"/>
          <w:spacing w:val="0"/>
          <w:position w:val="0"/>
          <w:sz w:val="21"/>
          <w:szCs w:val="21"/>
          <w:lang w:eastAsia="zh-CN"/>
        </w:rPr>
        <w:t>（</w:t>
      </w:r>
      <w:r>
        <w:rPr>
          <w:rFonts w:hint="eastAsia" w:ascii="仿宋" w:hAnsi="仿宋" w:eastAsia="仿宋" w:cs="仿宋"/>
          <w:b w:val="0"/>
          <w:bCs w:val="0"/>
          <w:spacing w:val="0"/>
          <w:position w:val="0"/>
          <w:sz w:val="21"/>
          <w:szCs w:val="21"/>
          <w:lang w:val="en-US" w:eastAsia="zh-CN"/>
        </w:rPr>
        <w:t>每份每样不少于125g,且保持品相完整</w:t>
      </w:r>
      <w:r>
        <w:rPr>
          <w:rFonts w:hint="eastAsia" w:ascii="仿宋" w:hAnsi="仿宋" w:eastAsia="仿宋" w:cs="仿宋"/>
          <w:b w:val="0"/>
          <w:bCs w:val="0"/>
          <w:spacing w:val="0"/>
          <w:position w:val="0"/>
          <w:sz w:val="21"/>
          <w:szCs w:val="21"/>
          <w:lang w:eastAsia="zh-CN"/>
        </w:rPr>
        <w:t>）</w:t>
      </w:r>
      <w:r>
        <w:rPr>
          <w:rFonts w:hint="eastAsia" w:ascii="仿宋" w:hAnsi="仿宋" w:eastAsia="仿宋" w:cs="仿宋"/>
          <w:b w:val="0"/>
          <w:bCs w:val="0"/>
          <w:spacing w:val="0"/>
          <w:position w:val="0"/>
          <w:sz w:val="21"/>
          <w:szCs w:val="21"/>
        </w:rPr>
        <w:t>和因运输装卸过程中造成的损耗（例如包装严重变形、破损，食品污损、变异等），发现的破损、变异食品必须无条件更换。</w:t>
      </w:r>
    </w:p>
    <w:p w14:paraId="6C44D1A1">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lang w:val="en-US" w:eastAsia="zh-CN"/>
        </w:rPr>
      </w:pPr>
      <w:r>
        <w:rPr>
          <w:rFonts w:hint="eastAsia" w:ascii="仿宋" w:hAnsi="仿宋" w:eastAsia="仿宋" w:cs="仿宋"/>
          <w:b w:val="0"/>
          <w:bCs w:val="0"/>
          <w:spacing w:val="0"/>
          <w:position w:val="0"/>
          <w:sz w:val="21"/>
          <w:szCs w:val="21"/>
          <w:lang w:val="en-US" w:eastAsia="zh-CN"/>
        </w:rPr>
        <w:t>每餐次至少配送一份校领导陪餐（同餐同质，实际数量以学校要求为准），所有陪餐费用由具体陪餐人周期内足额缴纳至配餐中标企业，由配餐中标企业开具发票。</w:t>
      </w:r>
    </w:p>
    <w:p w14:paraId="41324032">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z w:val="21"/>
          <w:szCs w:val="21"/>
          <w:lang w:eastAsia="zh-CN"/>
        </w:rPr>
      </w:pPr>
      <w:r>
        <w:rPr>
          <w:rFonts w:hint="eastAsia" w:ascii="仿宋" w:hAnsi="仿宋" w:eastAsia="仿宋" w:cs="仿宋"/>
          <w:b w:val="0"/>
          <w:bCs w:val="0"/>
          <w:spacing w:val="0"/>
          <w:position w:val="0"/>
          <w:sz w:val="21"/>
          <w:szCs w:val="21"/>
        </w:rPr>
        <w:t>（</w:t>
      </w:r>
      <w:r>
        <w:rPr>
          <w:rFonts w:hint="eastAsia" w:ascii="仿宋" w:hAnsi="仿宋" w:eastAsia="仿宋" w:cs="仿宋"/>
          <w:b w:val="0"/>
          <w:bCs w:val="0"/>
          <w:spacing w:val="0"/>
          <w:position w:val="0"/>
          <w:sz w:val="21"/>
          <w:szCs w:val="21"/>
          <w:lang w:val="en-US" w:eastAsia="zh-CN"/>
        </w:rPr>
        <w:t>5</w:t>
      </w:r>
      <w:r>
        <w:rPr>
          <w:rFonts w:hint="eastAsia" w:ascii="仿宋" w:hAnsi="仿宋" w:eastAsia="仿宋" w:cs="仿宋"/>
          <w:b w:val="0"/>
          <w:bCs w:val="0"/>
          <w:spacing w:val="0"/>
          <w:position w:val="0"/>
          <w:sz w:val="21"/>
          <w:szCs w:val="21"/>
        </w:rPr>
        <w:t>）其他要求</w:t>
      </w:r>
      <w:r>
        <w:rPr>
          <w:rFonts w:hint="eastAsia" w:ascii="仿宋" w:hAnsi="仿宋" w:eastAsia="仿宋" w:cs="仿宋"/>
          <w:b w:val="0"/>
          <w:bCs w:val="0"/>
          <w:spacing w:val="0"/>
          <w:position w:val="0"/>
          <w:sz w:val="21"/>
          <w:szCs w:val="21"/>
          <w:lang w:eastAsia="zh-CN"/>
        </w:rPr>
        <w:t>：</w:t>
      </w:r>
    </w:p>
    <w:p w14:paraId="3A331551">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1） 甲方可根据实际配送情况及学生的实际需求有权进行区域间调配； 因政策性调整供应数发生变化等以上情形中标单位应无条件执行。</w:t>
      </w:r>
    </w:p>
    <w:p w14:paraId="44B43A5C">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2）中标单位应不定期接受市场监管等部门对所提供产品的抽样检查，相关费用由中标单位承担。</w:t>
      </w:r>
    </w:p>
    <w:p w14:paraId="25F17513">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3）投标人应做出按照相关标准为每名学生购买食品安全责任保险的承诺，并在中标后切实履行该承诺。</w:t>
      </w:r>
    </w:p>
    <w:p w14:paraId="258CD839">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4）要考虑少数民族的饮食习惯，为少数民族学生提供适合的早餐食品。</w:t>
      </w:r>
    </w:p>
    <w:p w14:paraId="6455A9A0">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lang w:val="en-US" w:eastAsia="zh-CN"/>
        </w:rPr>
        <w:t>（6）</w:t>
      </w:r>
      <w:r>
        <w:rPr>
          <w:rFonts w:hint="eastAsia" w:ascii="仿宋" w:hAnsi="仿宋" w:eastAsia="仿宋" w:cs="仿宋"/>
          <w:b w:val="0"/>
          <w:bCs w:val="0"/>
          <w:spacing w:val="0"/>
          <w:position w:val="0"/>
          <w:sz w:val="21"/>
          <w:szCs w:val="21"/>
        </w:rPr>
        <w:t>质量保证：</w:t>
      </w:r>
    </w:p>
    <w:p w14:paraId="06947DE2">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1）每次配送产品必须在出厂后 2 小时内须送到临潼区教育局制定的实 施营养计划营养早餐的学校(具体时间以教育局通知为准)，每天一次，禁止 超量配送。</w:t>
      </w:r>
    </w:p>
    <w:p w14:paraId="280414AF">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2）因餐品质量问题引起的一切责任事故，均由乙方全权负责，甲方和所配送学校不承担任何责任。</w:t>
      </w:r>
    </w:p>
    <w:p w14:paraId="7390E855">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3）服务期限出现的质量问题由乙方负责解决并承担所有费用。</w:t>
      </w:r>
    </w:p>
    <w:p w14:paraId="3D52EC5F">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4）如因为误食不符合质量要求的食品，并造成实际伤害及损失，将由乙方承担全部责任。</w:t>
      </w:r>
    </w:p>
    <w:p w14:paraId="08529A4A">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lang w:eastAsia="zh-CN"/>
        </w:rPr>
        <w:t>（</w:t>
      </w:r>
      <w:r>
        <w:rPr>
          <w:rFonts w:hint="eastAsia" w:ascii="仿宋" w:hAnsi="仿宋" w:eastAsia="仿宋" w:cs="仿宋"/>
          <w:b w:val="0"/>
          <w:bCs w:val="0"/>
          <w:spacing w:val="0"/>
          <w:position w:val="0"/>
          <w:sz w:val="21"/>
          <w:szCs w:val="21"/>
          <w:lang w:val="en-US" w:eastAsia="zh-CN"/>
        </w:rPr>
        <w:t>7</w:t>
      </w:r>
      <w:r>
        <w:rPr>
          <w:rFonts w:hint="eastAsia" w:ascii="仿宋" w:hAnsi="仿宋" w:eastAsia="仿宋" w:cs="仿宋"/>
          <w:b w:val="0"/>
          <w:bCs w:val="0"/>
          <w:spacing w:val="0"/>
          <w:position w:val="0"/>
          <w:sz w:val="21"/>
          <w:szCs w:val="21"/>
          <w:lang w:eastAsia="zh-CN"/>
        </w:rPr>
        <w:t>）</w:t>
      </w:r>
      <w:r>
        <w:rPr>
          <w:rFonts w:hint="eastAsia" w:ascii="仿宋" w:hAnsi="仿宋" w:eastAsia="仿宋" w:cs="仿宋"/>
          <w:b w:val="0"/>
          <w:bCs w:val="0"/>
          <w:spacing w:val="0"/>
          <w:position w:val="0"/>
          <w:sz w:val="21"/>
          <w:szCs w:val="21"/>
        </w:rPr>
        <w:t>其他要求:</w:t>
      </w:r>
    </w:p>
    <w:p w14:paraId="7B7B4FE5">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1）乙方应不定期接受质检、食品药监等部门对所提供产品的抽样检查，相关费用由乙方承担。</w:t>
      </w:r>
    </w:p>
    <w:p w14:paraId="33514931">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2）乙方要考虑少数民族的饮食习惯，为少数民族学生提供适合的早餐 食品。</w:t>
      </w:r>
    </w:p>
    <w:p w14:paraId="6B0ED1FB">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lang w:val="en-US" w:eastAsia="zh-CN"/>
        </w:rPr>
        <w:t xml:space="preserve">第四条   </w:t>
      </w:r>
      <w:r>
        <w:rPr>
          <w:rFonts w:hint="eastAsia" w:ascii="仿宋" w:hAnsi="仿宋" w:eastAsia="仿宋" w:cs="仿宋"/>
          <w:b w:val="0"/>
          <w:bCs w:val="0"/>
          <w:spacing w:val="0"/>
          <w:position w:val="0"/>
          <w:sz w:val="21"/>
          <w:szCs w:val="21"/>
        </w:rPr>
        <w:t>验收:</w:t>
      </w:r>
    </w:p>
    <w:p w14:paraId="68027915">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（1）验收内容：</w:t>
      </w:r>
    </w:p>
    <w:p w14:paraId="5EA32B68">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lang w:val="en-US" w:eastAsia="zh-CN"/>
        </w:rPr>
        <w:t>1、</w:t>
      </w:r>
      <w:r>
        <w:rPr>
          <w:rFonts w:hint="eastAsia" w:ascii="仿宋" w:hAnsi="仿宋" w:eastAsia="仿宋" w:cs="仿宋"/>
          <w:b w:val="0"/>
          <w:bCs w:val="0"/>
          <w:spacing w:val="0"/>
          <w:position w:val="0"/>
          <w:sz w:val="21"/>
          <w:szCs w:val="21"/>
        </w:rPr>
        <w:t>乙方每次供货须向所配送学校提供“供货清单 ”（供货清单一式三份， 甲方一份，乙方一份，学校一份）；经验收合格后， 由学校在“供货清单 ” 上签字。</w:t>
      </w:r>
    </w:p>
    <w:p w14:paraId="69776BF8">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lang w:val="en-US" w:eastAsia="zh-CN"/>
        </w:rPr>
        <w:t>2、</w:t>
      </w:r>
      <w:r>
        <w:rPr>
          <w:rFonts w:hint="eastAsia" w:ascii="仿宋" w:hAnsi="仿宋" w:eastAsia="仿宋" w:cs="仿宋"/>
          <w:b w:val="0"/>
          <w:bCs w:val="0"/>
          <w:spacing w:val="0"/>
          <w:position w:val="0"/>
          <w:sz w:val="21"/>
          <w:szCs w:val="21"/>
        </w:rPr>
        <w:t>若验收不合格，乙方必须及时换货，保证学校学生的正常食用，否则 将终止其供货合同，并赔偿采购人的损失。</w:t>
      </w:r>
    </w:p>
    <w:p w14:paraId="5F002685">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lang w:eastAsia="zh-CN"/>
        </w:rPr>
        <w:t>（</w:t>
      </w:r>
      <w:r>
        <w:rPr>
          <w:rFonts w:hint="eastAsia" w:ascii="仿宋" w:hAnsi="仿宋" w:eastAsia="仿宋" w:cs="仿宋"/>
          <w:b w:val="0"/>
          <w:bCs w:val="0"/>
          <w:spacing w:val="0"/>
          <w:position w:val="0"/>
          <w:sz w:val="21"/>
          <w:szCs w:val="21"/>
          <w:lang w:val="en-US" w:eastAsia="zh-CN"/>
        </w:rPr>
        <w:t>2</w:t>
      </w:r>
      <w:r>
        <w:rPr>
          <w:rFonts w:hint="eastAsia" w:ascii="仿宋" w:hAnsi="仿宋" w:eastAsia="仿宋" w:cs="仿宋"/>
          <w:b w:val="0"/>
          <w:bCs w:val="0"/>
          <w:spacing w:val="0"/>
          <w:position w:val="0"/>
          <w:sz w:val="21"/>
          <w:szCs w:val="21"/>
          <w:lang w:eastAsia="zh-CN"/>
        </w:rPr>
        <w:t>）</w:t>
      </w:r>
      <w:r>
        <w:rPr>
          <w:rFonts w:hint="eastAsia" w:ascii="仿宋" w:hAnsi="仿宋" w:eastAsia="仿宋" w:cs="仿宋"/>
          <w:b w:val="0"/>
          <w:bCs w:val="0"/>
          <w:spacing w:val="0"/>
          <w:position w:val="0"/>
          <w:sz w:val="21"/>
          <w:szCs w:val="21"/>
        </w:rPr>
        <w:t>验收依据：</w:t>
      </w:r>
    </w:p>
    <w:p w14:paraId="74B5BBC8">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lang w:val="en-US" w:eastAsia="zh-CN"/>
        </w:rPr>
        <w:t>1、</w:t>
      </w:r>
      <w:r>
        <w:rPr>
          <w:rFonts w:hint="eastAsia" w:ascii="仿宋" w:hAnsi="仿宋" w:eastAsia="仿宋" w:cs="仿宋"/>
          <w:b w:val="0"/>
          <w:bCs w:val="0"/>
          <w:spacing w:val="0"/>
          <w:position w:val="0"/>
          <w:sz w:val="21"/>
          <w:szCs w:val="21"/>
        </w:rPr>
        <w:t>合同文本。</w:t>
      </w:r>
    </w:p>
    <w:p w14:paraId="11109A20">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lang w:val="en-US" w:eastAsia="zh-CN"/>
        </w:rPr>
        <w:t>2、</w:t>
      </w:r>
      <w:r>
        <w:rPr>
          <w:rFonts w:hint="eastAsia" w:ascii="仿宋" w:hAnsi="仿宋" w:eastAsia="仿宋" w:cs="仿宋"/>
          <w:b w:val="0"/>
          <w:bCs w:val="0"/>
          <w:spacing w:val="0"/>
          <w:position w:val="0"/>
          <w:sz w:val="21"/>
          <w:szCs w:val="21"/>
        </w:rPr>
        <w:t>国家有关的验收标准及规范。</w:t>
      </w:r>
    </w:p>
    <w:p w14:paraId="691679E8">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lang w:val="en-US" w:eastAsia="zh-CN"/>
        </w:rPr>
        <w:t>3、</w:t>
      </w:r>
      <w:r>
        <w:rPr>
          <w:rFonts w:hint="eastAsia" w:ascii="仿宋" w:hAnsi="仿宋" w:eastAsia="仿宋" w:cs="仿宋"/>
          <w:b w:val="0"/>
          <w:bCs w:val="0"/>
          <w:spacing w:val="0"/>
          <w:position w:val="0"/>
          <w:sz w:val="21"/>
          <w:szCs w:val="21"/>
        </w:rPr>
        <w:t>招标文件。</w:t>
      </w:r>
    </w:p>
    <w:p w14:paraId="671DD20B">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lang w:val="en-US" w:eastAsia="zh-CN"/>
        </w:rPr>
        <w:t>4、</w:t>
      </w:r>
      <w:r>
        <w:rPr>
          <w:rFonts w:hint="eastAsia" w:ascii="仿宋" w:hAnsi="仿宋" w:eastAsia="仿宋" w:cs="仿宋"/>
          <w:b w:val="0"/>
          <w:bCs w:val="0"/>
          <w:spacing w:val="0"/>
          <w:position w:val="0"/>
          <w:sz w:val="21"/>
          <w:szCs w:val="21"/>
        </w:rPr>
        <w:t>乙方的投标文件及食品检验报告单。</w:t>
      </w:r>
    </w:p>
    <w:p w14:paraId="0C9EC650">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lang w:val="en-US" w:eastAsia="zh-CN"/>
        </w:rPr>
        <w:t>5、</w:t>
      </w:r>
      <w:r>
        <w:rPr>
          <w:rFonts w:hint="eastAsia" w:ascii="仿宋" w:hAnsi="仿宋" w:eastAsia="仿宋" w:cs="仿宋"/>
          <w:b w:val="0"/>
          <w:bCs w:val="0"/>
          <w:spacing w:val="0"/>
          <w:position w:val="0"/>
          <w:sz w:val="21"/>
          <w:szCs w:val="21"/>
        </w:rPr>
        <w:t>生产厂家的企业资质、检验报告、货物的执行标准。</w:t>
      </w:r>
    </w:p>
    <w:p w14:paraId="09B3A0B7">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第</w:t>
      </w:r>
      <w:r>
        <w:rPr>
          <w:rFonts w:hint="eastAsia" w:ascii="仿宋" w:hAnsi="仿宋" w:eastAsia="仿宋" w:cs="仿宋"/>
          <w:b w:val="0"/>
          <w:bCs w:val="0"/>
          <w:spacing w:val="0"/>
          <w:position w:val="0"/>
          <w:sz w:val="21"/>
          <w:szCs w:val="21"/>
          <w:lang w:val="en-US" w:eastAsia="zh-CN"/>
        </w:rPr>
        <w:t>五</w:t>
      </w:r>
      <w:r>
        <w:rPr>
          <w:rFonts w:hint="eastAsia" w:ascii="仿宋" w:hAnsi="仿宋" w:eastAsia="仿宋" w:cs="仿宋"/>
          <w:b w:val="0"/>
          <w:bCs w:val="0"/>
          <w:spacing w:val="0"/>
          <w:position w:val="0"/>
          <w:sz w:val="21"/>
          <w:szCs w:val="21"/>
        </w:rPr>
        <w:t>条  服务费用及支付方式</w:t>
      </w:r>
    </w:p>
    <w:p w14:paraId="2150007A">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(一)本项目服务费用由以下组成：</w:t>
      </w:r>
    </w:p>
    <w:p w14:paraId="51B16F35">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 xml:space="preserve">学生营养早餐价格为 </w:t>
      </w:r>
      <w:r>
        <w:rPr>
          <w:rFonts w:hint="eastAsia" w:ascii="仿宋" w:hAnsi="仿宋" w:eastAsia="仿宋" w:cs="仿宋"/>
          <w:b w:val="0"/>
          <w:bCs w:val="0"/>
          <w:spacing w:val="0"/>
          <w:position w:val="0"/>
          <w:sz w:val="21"/>
          <w:szCs w:val="21"/>
          <w:u w:val="single" w:color="auto"/>
        </w:rPr>
        <w:t>4.2</w:t>
      </w:r>
      <w:r>
        <w:rPr>
          <w:rFonts w:hint="eastAsia" w:ascii="仿宋" w:hAnsi="仿宋" w:eastAsia="仿宋" w:cs="仿宋"/>
          <w:b w:val="0"/>
          <w:bCs w:val="0"/>
          <w:spacing w:val="0"/>
          <w:position w:val="0"/>
          <w:sz w:val="21"/>
          <w:szCs w:val="21"/>
          <w:u w:val="single" w:color="auto"/>
          <w:lang w:val="en-US" w:eastAsia="zh-CN"/>
        </w:rPr>
        <w:t>0</w:t>
      </w:r>
      <w:r>
        <w:rPr>
          <w:rFonts w:hint="eastAsia" w:ascii="仿宋" w:hAnsi="仿宋" w:eastAsia="仿宋" w:cs="仿宋"/>
          <w:b w:val="0"/>
          <w:bCs w:val="0"/>
          <w:spacing w:val="0"/>
          <w:position w:val="0"/>
          <w:sz w:val="21"/>
          <w:szCs w:val="21"/>
        </w:rPr>
        <w:t>元/份</w:t>
      </w:r>
      <w:r>
        <w:rPr>
          <w:rFonts w:hint="eastAsia" w:ascii="仿宋" w:hAnsi="仿宋" w:eastAsia="仿宋" w:cs="仿宋"/>
          <w:b w:val="0"/>
          <w:bCs w:val="0"/>
          <w:spacing w:val="0"/>
          <w:position w:val="0"/>
          <w:sz w:val="21"/>
          <w:szCs w:val="21"/>
          <w:lang w:eastAsia="zh-CN"/>
        </w:rPr>
        <w:t>（</w:t>
      </w:r>
      <w:r>
        <w:rPr>
          <w:rFonts w:hint="eastAsia" w:ascii="仿宋" w:hAnsi="仿宋" w:eastAsia="仿宋" w:cs="仿宋"/>
          <w:b w:val="0"/>
          <w:bCs w:val="0"/>
          <w:spacing w:val="0"/>
          <w:position w:val="0"/>
          <w:sz w:val="21"/>
          <w:szCs w:val="21"/>
          <w:lang w:val="en-US" w:eastAsia="zh-CN"/>
        </w:rPr>
        <w:t>4.2元包含</w:t>
      </w:r>
      <w:r>
        <w:rPr>
          <w:rFonts w:hint="eastAsia" w:ascii="仿宋" w:hAnsi="仿宋" w:eastAsia="仿宋" w:cs="仿宋"/>
          <w:b w:val="0"/>
          <w:bCs w:val="0"/>
          <w:spacing w:val="0"/>
          <w:position w:val="0"/>
          <w:sz w:val="21"/>
          <w:szCs w:val="21"/>
        </w:rPr>
        <w:t>食品费用，破损换货、留样</w:t>
      </w:r>
      <w:r>
        <w:rPr>
          <w:rFonts w:hint="eastAsia" w:ascii="仿宋" w:hAnsi="仿宋" w:eastAsia="仿宋" w:cs="仿宋"/>
          <w:b w:val="0"/>
          <w:bCs w:val="0"/>
          <w:spacing w:val="0"/>
          <w:position w:val="0"/>
          <w:sz w:val="21"/>
          <w:szCs w:val="21"/>
          <w:lang w:eastAsia="zh-CN"/>
        </w:rPr>
        <w:t>、</w:t>
      </w:r>
      <w:r>
        <w:rPr>
          <w:rFonts w:hint="eastAsia" w:ascii="仿宋" w:hAnsi="仿宋" w:eastAsia="仿宋" w:cs="仿宋"/>
          <w:b w:val="0"/>
          <w:bCs w:val="0"/>
          <w:spacing w:val="0"/>
          <w:position w:val="0"/>
          <w:sz w:val="21"/>
          <w:szCs w:val="21"/>
        </w:rPr>
        <w:t>包装、运输等其他一切费用）</w:t>
      </w:r>
    </w:p>
    <w:p w14:paraId="1C523CE0">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(二)服务费支付方式：</w:t>
      </w:r>
    </w:p>
    <w:p w14:paraId="2BBA55E9">
      <w:pPr>
        <w:keepNext w:val="0"/>
        <w:keepLines w:val="0"/>
        <w:pageBreakBefore w:val="0"/>
        <w:widowControl w:val="0"/>
        <w:kinsoku/>
        <w:wordWrap/>
        <w:overflowPunct/>
        <w:topLinePunct w:val="0"/>
        <w:autoSpaceDE/>
        <w:autoSpaceDN/>
        <w:bidi w:val="0"/>
        <w:adjustRightInd/>
        <w:snapToGrid/>
        <w:spacing w:line="360" w:lineRule="auto"/>
        <w:ind w:left="0" w:right="0" w:firstLine="567"/>
        <w:textAlignment w:val="auto"/>
        <w:rPr>
          <w:rFonts w:hint="eastAsia" w:ascii="仿宋" w:hAnsi="仿宋" w:eastAsia="仿宋" w:cs="仿宋"/>
          <w:b w:val="0"/>
          <w:bCs w:val="0"/>
          <w:spacing w:val="0"/>
          <w:position w:val="0"/>
          <w:sz w:val="21"/>
          <w:szCs w:val="21"/>
          <w:highlight w:val="none"/>
          <w:lang w:val="en-US" w:eastAsia="zh-CN"/>
        </w:rPr>
      </w:pPr>
      <w:r>
        <w:rPr>
          <w:rFonts w:hint="eastAsia" w:ascii="仿宋" w:hAnsi="仿宋" w:eastAsia="仿宋" w:cs="仿宋"/>
          <w:b w:val="0"/>
          <w:bCs w:val="0"/>
          <w:spacing w:val="0"/>
          <w:position w:val="0"/>
          <w:sz w:val="21"/>
          <w:szCs w:val="21"/>
          <w:highlight w:val="none"/>
          <w:lang w:val="en-US" w:eastAsia="zh-CN"/>
        </w:rPr>
        <w:t>原则上每两个月结算一次，供应商要及时将送货清单、签过字的验收单及正规发票及时送到采购人处，双方按实际供货数量*4.2元为准结算货款，采购人在签字确认后 20 个日历日内以银行转账方式支付到供应商指定的帐户。</w:t>
      </w:r>
    </w:p>
    <w:p w14:paraId="6CC06F14">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第</w:t>
      </w:r>
      <w:r>
        <w:rPr>
          <w:rFonts w:hint="eastAsia" w:ascii="仿宋" w:hAnsi="仿宋" w:eastAsia="仿宋" w:cs="仿宋"/>
          <w:b w:val="0"/>
          <w:bCs w:val="0"/>
          <w:spacing w:val="0"/>
          <w:position w:val="0"/>
          <w:sz w:val="21"/>
          <w:szCs w:val="21"/>
          <w:lang w:val="en-US" w:eastAsia="zh-CN"/>
        </w:rPr>
        <w:t>六</w:t>
      </w:r>
      <w:r>
        <w:rPr>
          <w:rFonts w:hint="eastAsia" w:ascii="仿宋" w:hAnsi="仿宋" w:eastAsia="仿宋" w:cs="仿宋"/>
          <w:b w:val="0"/>
          <w:bCs w:val="0"/>
          <w:spacing w:val="0"/>
          <w:position w:val="0"/>
          <w:sz w:val="21"/>
          <w:szCs w:val="21"/>
        </w:rPr>
        <w:t>条  知识产权</w:t>
      </w:r>
    </w:p>
    <w:p w14:paraId="2CEB76AB">
      <w:pPr>
        <w:keepNext w:val="0"/>
        <w:keepLines w:val="0"/>
        <w:pageBreakBefore w:val="0"/>
        <w:widowControl w:val="0"/>
        <w:kinsoku/>
        <w:wordWrap/>
        <w:overflowPunct/>
        <w:topLinePunct w:val="0"/>
        <w:autoSpaceDE/>
        <w:autoSpaceDN/>
        <w:bidi w:val="0"/>
        <w:adjustRightInd/>
        <w:snapToGrid/>
        <w:spacing w:line="360" w:lineRule="auto"/>
        <w:ind w:left="0" w:right="0" w:firstLine="579"/>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乙方应保证所提供的服务或其任何一部分均不会侵犯任何第三方的专利权、商标权或著作权。</w:t>
      </w:r>
    </w:p>
    <w:p w14:paraId="52F219A6">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第</w:t>
      </w:r>
      <w:r>
        <w:rPr>
          <w:rFonts w:hint="eastAsia" w:ascii="仿宋" w:hAnsi="仿宋" w:eastAsia="仿宋" w:cs="仿宋"/>
          <w:b w:val="0"/>
          <w:bCs w:val="0"/>
          <w:spacing w:val="0"/>
          <w:position w:val="0"/>
          <w:sz w:val="21"/>
          <w:szCs w:val="21"/>
          <w:lang w:val="en-US" w:eastAsia="zh-CN"/>
        </w:rPr>
        <w:t>七</w:t>
      </w:r>
      <w:r>
        <w:rPr>
          <w:rFonts w:hint="eastAsia" w:ascii="仿宋" w:hAnsi="仿宋" w:eastAsia="仿宋" w:cs="仿宋"/>
          <w:b w:val="0"/>
          <w:bCs w:val="0"/>
          <w:spacing w:val="0"/>
          <w:position w:val="0"/>
          <w:sz w:val="21"/>
          <w:szCs w:val="21"/>
        </w:rPr>
        <w:t>条  无产权瑕疵条款</w:t>
      </w:r>
    </w:p>
    <w:p w14:paraId="46BA68B7">
      <w:pPr>
        <w:keepNext w:val="0"/>
        <w:keepLines w:val="0"/>
        <w:pageBreakBefore w:val="0"/>
        <w:widowControl w:val="0"/>
        <w:kinsoku/>
        <w:wordWrap/>
        <w:overflowPunct/>
        <w:topLinePunct w:val="0"/>
        <w:autoSpaceDE/>
        <w:autoSpaceDN/>
        <w:bidi w:val="0"/>
        <w:adjustRightInd/>
        <w:snapToGrid/>
        <w:spacing w:line="360" w:lineRule="auto"/>
        <w:ind w:left="0" w:right="0" w:firstLine="579"/>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乙方保证所提供的服务的所有权完全属于乙方且无任何抵押、查封等产权瑕疵。如有产权瑕疵的，视为乙方违约。乙方应负担由此而产生的一切损失。</w:t>
      </w:r>
    </w:p>
    <w:p w14:paraId="68760135">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第</w:t>
      </w:r>
      <w:r>
        <w:rPr>
          <w:rFonts w:hint="eastAsia" w:ascii="仿宋" w:hAnsi="仿宋" w:eastAsia="仿宋" w:cs="仿宋"/>
          <w:b w:val="0"/>
          <w:bCs w:val="0"/>
          <w:spacing w:val="0"/>
          <w:position w:val="0"/>
          <w:sz w:val="21"/>
          <w:szCs w:val="21"/>
          <w:lang w:val="en-US" w:eastAsia="zh-CN"/>
        </w:rPr>
        <w:t>八</w:t>
      </w:r>
      <w:r>
        <w:rPr>
          <w:rFonts w:hint="eastAsia" w:ascii="仿宋" w:hAnsi="仿宋" w:eastAsia="仿宋" w:cs="仿宋"/>
          <w:b w:val="0"/>
          <w:bCs w:val="0"/>
          <w:spacing w:val="0"/>
          <w:position w:val="0"/>
          <w:sz w:val="21"/>
          <w:szCs w:val="21"/>
        </w:rPr>
        <w:t>条  甲方的权利和义务</w:t>
      </w:r>
    </w:p>
    <w:p w14:paraId="3C232CD8">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1、甲方有权对合同规定范围内乙方的服务行为进行监督和检查，拥有监管权。有权定期核对乙方提供服务所配备的食材原料、生产场地、人员配备、 质量保障以及配送体系，并对甲方认为不合理的部分有权下达整改通知书，并要求乙方限期整改。</w:t>
      </w:r>
    </w:p>
    <w:p w14:paraId="09A77C4E">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2、 甲方有权依据双方签订的考评办法对乙方提供的服务进行定期考评。 当考评结果未达到标准时，有权依据考评办法约定的数额扣除履约保证金。</w:t>
      </w:r>
    </w:p>
    <w:p w14:paraId="4C35DF4D">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3、负责检查监督乙方管理工作的实施执行情况。</w:t>
      </w:r>
    </w:p>
    <w:p w14:paraId="1C075EB1">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4、根据本合同规定，按时向乙方支付应付服务费用。</w:t>
      </w:r>
    </w:p>
    <w:p w14:paraId="446FFA0B">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 xml:space="preserve">5、国家法律、法规所规定由甲方承担的其它责任。 </w:t>
      </w:r>
    </w:p>
    <w:p w14:paraId="5E711BA0">
      <w:pPr>
        <w:keepNext w:val="0"/>
        <w:keepLines w:val="0"/>
        <w:pageBreakBefore w:val="0"/>
        <w:widowControl w:val="0"/>
        <w:kinsoku/>
        <w:wordWrap/>
        <w:overflowPunct/>
        <w:topLinePunct w:val="0"/>
        <w:autoSpaceDE/>
        <w:autoSpaceDN/>
        <w:bidi w:val="0"/>
        <w:adjustRightInd/>
        <w:snapToGrid/>
        <w:spacing w:line="360" w:lineRule="auto"/>
        <w:ind w:left="0" w:right="0" w:hanging="15"/>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第</w:t>
      </w:r>
      <w:r>
        <w:rPr>
          <w:rFonts w:hint="eastAsia" w:ascii="仿宋" w:hAnsi="仿宋" w:eastAsia="仿宋" w:cs="仿宋"/>
          <w:b w:val="0"/>
          <w:bCs w:val="0"/>
          <w:spacing w:val="0"/>
          <w:position w:val="0"/>
          <w:sz w:val="21"/>
          <w:szCs w:val="21"/>
          <w:lang w:val="en-US" w:eastAsia="zh-CN"/>
        </w:rPr>
        <w:t>九</w:t>
      </w:r>
      <w:r>
        <w:rPr>
          <w:rFonts w:hint="eastAsia" w:ascii="仿宋" w:hAnsi="仿宋" w:eastAsia="仿宋" w:cs="仿宋"/>
          <w:b w:val="0"/>
          <w:bCs w:val="0"/>
          <w:spacing w:val="0"/>
          <w:position w:val="0"/>
          <w:sz w:val="21"/>
          <w:szCs w:val="21"/>
        </w:rPr>
        <w:t>条  乙方的权利和义务</w:t>
      </w:r>
    </w:p>
    <w:p w14:paraId="0628EB97">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1、对本合同规定的委托服务范围内的项目享有管理权及服务义务。</w:t>
      </w:r>
    </w:p>
    <w:p w14:paraId="71412CD0">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2、必须向甲方提供带量、带价食谱以及成本核算相关证明材料，确保每生每天 4.2</w:t>
      </w:r>
      <w:r>
        <w:rPr>
          <w:rFonts w:hint="eastAsia" w:ascii="仿宋" w:hAnsi="仿宋" w:eastAsia="仿宋" w:cs="仿宋"/>
          <w:b w:val="0"/>
          <w:bCs w:val="0"/>
          <w:spacing w:val="0"/>
          <w:position w:val="0"/>
          <w:sz w:val="21"/>
          <w:szCs w:val="21"/>
          <w:lang w:val="en-US" w:eastAsia="zh-CN"/>
        </w:rPr>
        <w:t>0</w:t>
      </w:r>
      <w:r>
        <w:rPr>
          <w:rFonts w:hint="eastAsia" w:ascii="仿宋" w:hAnsi="仿宋" w:eastAsia="仿宋" w:cs="仿宋"/>
          <w:b w:val="0"/>
          <w:bCs w:val="0"/>
          <w:spacing w:val="0"/>
          <w:position w:val="0"/>
          <w:sz w:val="21"/>
          <w:szCs w:val="21"/>
        </w:rPr>
        <w:t xml:space="preserve"> 元足额用于膳食采购。</w:t>
      </w:r>
    </w:p>
    <w:p w14:paraId="3D72042D">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3、及时向甲方通告本项目服务范围内有关服务的重大事项，及时配合处理投诉。</w:t>
      </w:r>
    </w:p>
    <w:p w14:paraId="07A06483">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4、接受项目行业管理部门及政府有关部门的指导，接受甲方的监督。</w:t>
      </w:r>
    </w:p>
    <w:p w14:paraId="607BDA3C">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 xml:space="preserve">5、国家法律、法规所规定由乙方承担的其它责任。 </w:t>
      </w:r>
    </w:p>
    <w:p w14:paraId="36DCBBD1">
      <w:pPr>
        <w:keepNext w:val="0"/>
        <w:keepLines w:val="0"/>
        <w:pageBreakBefore w:val="0"/>
        <w:widowControl w:val="0"/>
        <w:kinsoku/>
        <w:wordWrap/>
        <w:overflowPunct/>
        <w:topLinePunct w:val="0"/>
        <w:autoSpaceDE/>
        <w:autoSpaceDN/>
        <w:bidi w:val="0"/>
        <w:adjustRightInd/>
        <w:snapToGrid/>
        <w:spacing w:line="360" w:lineRule="auto"/>
        <w:ind w:left="0" w:right="0" w:hanging="15"/>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第</w:t>
      </w:r>
      <w:r>
        <w:rPr>
          <w:rFonts w:hint="eastAsia" w:ascii="仿宋" w:hAnsi="仿宋" w:eastAsia="仿宋" w:cs="仿宋"/>
          <w:b w:val="0"/>
          <w:bCs w:val="0"/>
          <w:spacing w:val="0"/>
          <w:position w:val="0"/>
          <w:sz w:val="21"/>
          <w:szCs w:val="21"/>
          <w:lang w:val="en-US" w:eastAsia="zh-CN"/>
        </w:rPr>
        <w:t>十</w:t>
      </w:r>
      <w:r>
        <w:rPr>
          <w:rFonts w:hint="eastAsia" w:ascii="仿宋" w:hAnsi="仿宋" w:eastAsia="仿宋" w:cs="仿宋"/>
          <w:b w:val="0"/>
          <w:bCs w:val="0"/>
          <w:spacing w:val="0"/>
          <w:position w:val="0"/>
          <w:sz w:val="21"/>
          <w:szCs w:val="21"/>
        </w:rPr>
        <w:t>条   违约责任</w:t>
      </w:r>
    </w:p>
    <w:p w14:paraId="0776374C">
      <w:pPr>
        <w:keepNext w:val="0"/>
        <w:keepLines w:val="0"/>
        <w:pageBreakBefore w:val="0"/>
        <w:widowControl w:val="0"/>
        <w:kinsoku/>
        <w:wordWrap/>
        <w:overflowPunct/>
        <w:topLinePunct w:val="0"/>
        <w:autoSpaceDE/>
        <w:autoSpaceDN/>
        <w:bidi w:val="0"/>
        <w:adjustRightInd/>
        <w:snapToGrid/>
        <w:spacing w:line="360" w:lineRule="auto"/>
        <w:ind w:left="0" w:right="0" w:firstLine="555"/>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1、甲乙双方必须遵守本合同并执行合同中的各项规定，保证本合同的正常履行。</w:t>
      </w:r>
    </w:p>
    <w:p w14:paraId="6282D144">
      <w:pPr>
        <w:keepNext w:val="0"/>
        <w:keepLines w:val="0"/>
        <w:pageBreakBefore w:val="0"/>
        <w:widowControl w:val="0"/>
        <w:kinsoku/>
        <w:wordWrap/>
        <w:overflowPunct/>
        <w:topLinePunct w:val="0"/>
        <w:autoSpaceDE/>
        <w:autoSpaceDN/>
        <w:bidi w:val="0"/>
        <w:adjustRightInd/>
        <w:snapToGrid/>
        <w:spacing w:line="360" w:lineRule="auto"/>
        <w:ind w:left="0" w:right="0" w:firstLine="551"/>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2、如因乙方工作人员在履行职务过程中的疏忽、失职、过错等故意或者过失原因给甲方造成损失或侵害，包括但不限于甲方本身的财产损失以及由此而导致的甲方对任何第三方的法律责任等，乙方对此均应承担全部的赔偿责任。</w:t>
      </w:r>
    </w:p>
    <w:p w14:paraId="12C1FE62">
      <w:pPr>
        <w:keepNext w:val="0"/>
        <w:keepLines w:val="0"/>
        <w:pageBreakBefore w:val="0"/>
        <w:widowControl w:val="0"/>
        <w:kinsoku/>
        <w:wordWrap/>
        <w:overflowPunct/>
        <w:topLinePunct w:val="0"/>
        <w:autoSpaceDE/>
        <w:autoSpaceDN/>
        <w:bidi w:val="0"/>
        <w:adjustRightInd/>
        <w:snapToGrid/>
        <w:spacing w:line="360" w:lineRule="auto"/>
        <w:ind w:left="0" w:right="0" w:hanging="15"/>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第十</w:t>
      </w:r>
      <w:r>
        <w:rPr>
          <w:rFonts w:hint="eastAsia" w:ascii="仿宋" w:hAnsi="仿宋" w:eastAsia="仿宋" w:cs="仿宋"/>
          <w:b w:val="0"/>
          <w:bCs w:val="0"/>
          <w:spacing w:val="0"/>
          <w:position w:val="0"/>
          <w:sz w:val="21"/>
          <w:szCs w:val="21"/>
          <w:lang w:val="en-US" w:eastAsia="zh-CN"/>
        </w:rPr>
        <w:t>一</w:t>
      </w:r>
      <w:r>
        <w:rPr>
          <w:rFonts w:hint="eastAsia" w:ascii="仿宋" w:hAnsi="仿宋" w:eastAsia="仿宋" w:cs="仿宋"/>
          <w:b w:val="0"/>
          <w:bCs w:val="0"/>
          <w:spacing w:val="0"/>
          <w:position w:val="0"/>
          <w:sz w:val="21"/>
          <w:szCs w:val="21"/>
        </w:rPr>
        <w:t>条  不可抗力事件处理</w:t>
      </w:r>
    </w:p>
    <w:p w14:paraId="09A68BEA">
      <w:pPr>
        <w:keepNext w:val="0"/>
        <w:keepLines w:val="0"/>
        <w:pageBreakBefore w:val="0"/>
        <w:widowControl w:val="0"/>
        <w:kinsoku/>
        <w:wordWrap/>
        <w:overflowPunct/>
        <w:topLinePunct w:val="0"/>
        <w:autoSpaceDE/>
        <w:autoSpaceDN/>
        <w:bidi w:val="0"/>
        <w:adjustRightInd/>
        <w:snapToGrid/>
        <w:spacing w:line="360" w:lineRule="auto"/>
        <w:ind w:left="0" w:right="0" w:firstLine="538"/>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1、在合同有效期内，任何一方因不可抗力事件导致不能履行合同，则合同履行期可延长，其延长期与不可抗力影响期相同。</w:t>
      </w:r>
    </w:p>
    <w:p w14:paraId="60FB2E2C">
      <w:pPr>
        <w:keepNext w:val="0"/>
        <w:keepLines w:val="0"/>
        <w:pageBreakBefore w:val="0"/>
        <w:widowControl w:val="0"/>
        <w:kinsoku/>
        <w:wordWrap/>
        <w:overflowPunct/>
        <w:topLinePunct w:val="0"/>
        <w:autoSpaceDE/>
        <w:autoSpaceDN/>
        <w:bidi w:val="0"/>
        <w:adjustRightInd/>
        <w:snapToGrid/>
        <w:spacing w:line="360" w:lineRule="auto"/>
        <w:ind w:left="0" w:right="0" w:firstLine="554"/>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2、不可抗力事件发生后，应立即通知对方，并寄送有关权威机构出具的证明。</w:t>
      </w:r>
    </w:p>
    <w:p w14:paraId="5E4EE240">
      <w:pPr>
        <w:keepNext w:val="0"/>
        <w:keepLines w:val="0"/>
        <w:pageBreakBefore w:val="0"/>
        <w:widowControl w:val="0"/>
        <w:kinsoku/>
        <w:wordWrap/>
        <w:overflowPunct/>
        <w:topLinePunct w:val="0"/>
        <w:autoSpaceDE/>
        <w:autoSpaceDN/>
        <w:bidi w:val="0"/>
        <w:adjustRightInd/>
        <w:snapToGrid/>
        <w:spacing w:line="360" w:lineRule="auto"/>
        <w:ind w:left="0" w:right="0" w:firstLine="522"/>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3、不可抗力事件延续 2 天以上，双方应通过协商，确定是否继续履行合同。</w:t>
      </w:r>
    </w:p>
    <w:p w14:paraId="6AEE26E3">
      <w:pPr>
        <w:keepNext w:val="0"/>
        <w:keepLines w:val="0"/>
        <w:pageBreakBefore w:val="0"/>
        <w:widowControl w:val="0"/>
        <w:kinsoku/>
        <w:wordWrap/>
        <w:overflowPunct/>
        <w:topLinePunct w:val="0"/>
        <w:autoSpaceDE/>
        <w:autoSpaceDN/>
        <w:bidi w:val="0"/>
        <w:adjustRightInd/>
        <w:snapToGrid/>
        <w:spacing w:line="360" w:lineRule="auto"/>
        <w:ind w:left="0" w:right="0" w:hanging="15"/>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第十</w:t>
      </w:r>
      <w:r>
        <w:rPr>
          <w:rFonts w:hint="eastAsia" w:ascii="仿宋" w:hAnsi="仿宋" w:eastAsia="仿宋" w:cs="仿宋"/>
          <w:b w:val="0"/>
          <w:bCs w:val="0"/>
          <w:spacing w:val="0"/>
          <w:position w:val="0"/>
          <w:sz w:val="21"/>
          <w:szCs w:val="21"/>
          <w:lang w:val="en-US" w:eastAsia="zh-CN"/>
        </w:rPr>
        <w:t>二</w:t>
      </w:r>
      <w:r>
        <w:rPr>
          <w:rFonts w:hint="eastAsia" w:ascii="仿宋" w:hAnsi="仿宋" w:eastAsia="仿宋" w:cs="仿宋"/>
          <w:b w:val="0"/>
          <w:bCs w:val="0"/>
          <w:spacing w:val="0"/>
          <w:position w:val="0"/>
          <w:sz w:val="21"/>
          <w:szCs w:val="21"/>
        </w:rPr>
        <w:t>条   解决合同纠纷的方式</w:t>
      </w:r>
    </w:p>
    <w:p w14:paraId="7409811E">
      <w:pPr>
        <w:keepNext w:val="0"/>
        <w:keepLines w:val="0"/>
        <w:pageBreakBefore w:val="0"/>
        <w:widowControl w:val="0"/>
        <w:kinsoku/>
        <w:wordWrap/>
        <w:overflowPunct/>
        <w:topLinePunct w:val="0"/>
        <w:autoSpaceDE/>
        <w:autoSpaceDN/>
        <w:bidi w:val="0"/>
        <w:adjustRightInd/>
        <w:snapToGrid/>
        <w:spacing w:line="360" w:lineRule="auto"/>
        <w:ind w:left="0" w:right="0" w:firstLine="535"/>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1、合同一经签订，不得随意变更、中止或终止。对确需变更、调整或者中止、终止合同的，应按规定履行相应的手续。</w:t>
      </w:r>
    </w:p>
    <w:p w14:paraId="68CE0737">
      <w:pPr>
        <w:keepNext w:val="0"/>
        <w:keepLines w:val="0"/>
        <w:pageBreakBefore w:val="0"/>
        <w:widowControl w:val="0"/>
        <w:kinsoku/>
        <w:wordWrap/>
        <w:overflowPunct/>
        <w:topLinePunct w:val="0"/>
        <w:autoSpaceDE/>
        <w:autoSpaceDN/>
        <w:bidi w:val="0"/>
        <w:adjustRightInd/>
        <w:snapToGrid/>
        <w:spacing w:line="360" w:lineRule="auto"/>
        <w:ind w:left="0" w:right="0" w:firstLine="549"/>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2、合同执行中发生争议的，甲、乙双方应协商解决，协商达不成一致时，可向甲方所在地人民法院提请诉讼。</w:t>
      </w:r>
    </w:p>
    <w:p w14:paraId="74036746">
      <w:pPr>
        <w:keepNext w:val="0"/>
        <w:keepLines w:val="0"/>
        <w:pageBreakBefore w:val="0"/>
        <w:widowControl w:val="0"/>
        <w:kinsoku/>
        <w:wordWrap/>
        <w:overflowPunct/>
        <w:topLinePunct w:val="0"/>
        <w:autoSpaceDE/>
        <w:autoSpaceDN/>
        <w:bidi w:val="0"/>
        <w:adjustRightInd/>
        <w:snapToGrid/>
        <w:spacing w:line="360" w:lineRule="auto"/>
        <w:ind w:left="0" w:right="0" w:hanging="15"/>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第十</w:t>
      </w:r>
      <w:r>
        <w:rPr>
          <w:rFonts w:hint="eastAsia" w:ascii="仿宋" w:hAnsi="仿宋" w:eastAsia="仿宋" w:cs="仿宋"/>
          <w:b w:val="0"/>
          <w:bCs w:val="0"/>
          <w:spacing w:val="0"/>
          <w:position w:val="0"/>
          <w:sz w:val="21"/>
          <w:szCs w:val="21"/>
          <w:lang w:val="en-US" w:eastAsia="zh-CN"/>
        </w:rPr>
        <w:t>三</w:t>
      </w:r>
      <w:r>
        <w:rPr>
          <w:rFonts w:hint="eastAsia" w:ascii="仿宋" w:hAnsi="仿宋" w:eastAsia="仿宋" w:cs="仿宋"/>
          <w:b w:val="0"/>
          <w:bCs w:val="0"/>
          <w:spacing w:val="0"/>
          <w:position w:val="0"/>
          <w:sz w:val="21"/>
          <w:szCs w:val="21"/>
        </w:rPr>
        <w:t>条   合同生效及其他</w:t>
      </w:r>
    </w:p>
    <w:p w14:paraId="7F9A2BC0">
      <w:pPr>
        <w:keepNext w:val="0"/>
        <w:keepLines w:val="0"/>
        <w:pageBreakBefore w:val="0"/>
        <w:widowControl w:val="0"/>
        <w:kinsoku/>
        <w:wordWrap/>
        <w:overflowPunct/>
        <w:topLinePunct w:val="0"/>
        <w:autoSpaceDE/>
        <w:autoSpaceDN/>
        <w:bidi w:val="0"/>
        <w:adjustRightInd/>
        <w:snapToGrid/>
        <w:spacing w:line="360" w:lineRule="auto"/>
        <w:ind w:left="0" w:right="0" w:firstLine="630" w:firstLineChars="3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1、 甲、乙双方做为合同执行的主体，有义务及时完全履行合同。</w:t>
      </w:r>
    </w:p>
    <w:p w14:paraId="5B604AF1">
      <w:pPr>
        <w:keepNext w:val="0"/>
        <w:keepLines w:val="0"/>
        <w:pageBreakBefore w:val="0"/>
        <w:widowControl w:val="0"/>
        <w:kinsoku/>
        <w:wordWrap/>
        <w:overflowPunct/>
        <w:topLinePunct w:val="0"/>
        <w:autoSpaceDE/>
        <w:autoSpaceDN/>
        <w:bidi w:val="0"/>
        <w:adjustRightInd/>
        <w:snapToGrid/>
        <w:spacing w:line="360" w:lineRule="auto"/>
        <w:ind w:left="0" w:right="0" w:firstLine="552"/>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2、合同未尽事宜，由甲、乙双方协商，协商方案作为本合同不可分割的组成部分，与本合同具有同等法律效力。</w:t>
      </w:r>
    </w:p>
    <w:p w14:paraId="246A9596">
      <w:pPr>
        <w:keepNext w:val="0"/>
        <w:keepLines w:val="0"/>
        <w:pageBreakBefore w:val="0"/>
        <w:widowControl w:val="0"/>
        <w:kinsoku/>
        <w:wordWrap/>
        <w:overflowPunct/>
        <w:topLinePunct w:val="0"/>
        <w:autoSpaceDE/>
        <w:autoSpaceDN/>
        <w:bidi w:val="0"/>
        <w:adjustRightInd/>
        <w:snapToGrid/>
        <w:spacing w:line="360" w:lineRule="auto"/>
        <w:ind w:left="0" w:right="0" w:firstLine="630" w:firstLineChars="300"/>
        <w:jc w:val="both"/>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3、招标文件和乙方的投标文件以及合同附件均为合同不可分割的部分。</w:t>
      </w:r>
    </w:p>
    <w:p w14:paraId="51C80285">
      <w:pPr>
        <w:keepNext w:val="0"/>
        <w:keepLines w:val="0"/>
        <w:pageBreakBefore w:val="0"/>
        <w:widowControl w:val="0"/>
        <w:kinsoku/>
        <w:wordWrap/>
        <w:overflowPunct/>
        <w:topLinePunct w:val="0"/>
        <w:autoSpaceDE/>
        <w:autoSpaceDN/>
        <w:bidi w:val="0"/>
        <w:adjustRightInd/>
        <w:snapToGrid/>
        <w:spacing w:line="360" w:lineRule="auto"/>
        <w:ind w:left="0" w:right="0" w:firstLine="630" w:firstLineChars="300"/>
        <w:textAlignment w:val="auto"/>
        <w:rPr>
          <w:rFonts w:hint="eastAsia" w:ascii="仿宋" w:hAnsi="仿宋" w:eastAsia="仿宋" w:cs="仿宋"/>
          <w:b w:val="0"/>
          <w:bCs w:val="0"/>
          <w:spacing w:val="0"/>
          <w:position w:val="0"/>
          <w:sz w:val="21"/>
          <w:szCs w:val="21"/>
        </w:rPr>
      </w:pPr>
      <w:r>
        <w:rPr>
          <w:rFonts w:hint="eastAsia" w:ascii="仿宋" w:hAnsi="仿宋" w:eastAsia="仿宋" w:cs="仿宋"/>
          <w:b w:val="0"/>
          <w:bCs w:val="0"/>
          <w:spacing w:val="0"/>
          <w:position w:val="0"/>
          <w:sz w:val="21"/>
          <w:szCs w:val="21"/>
        </w:rPr>
        <w:t>4、合同一式</w:t>
      </w:r>
      <w:r>
        <w:rPr>
          <w:rFonts w:hint="eastAsia" w:ascii="仿宋" w:hAnsi="仿宋" w:eastAsia="仿宋" w:cs="仿宋"/>
          <w:b w:val="0"/>
          <w:bCs w:val="0"/>
          <w:spacing w:val="0"/>
          <w:position w:val="0"/>
          <w:sz w:val="21"/>
          <w:szCs w:val="21"/>
          <w:lang w:val="en-US" w:eastAsia="zh-CN"/>
        </w:rPr>
        <w:t>肆</w:t>
      </w:r>
      <w:r>
        <w:rPr>
          <w:rFonts w:hint="eastAsia" w:ascii="仿宋" w:hAnsi="仿宋" w:eastAsia="仿宋" w:cs="仿宋"/>
          <w:b w:val="0"/>
          <w:bCs w:val="0"/>
          <w:spacing w:val="0"/>
          <w:position w:val="0"/>
          <w:sz w:val="21"/>
          <w:szCs w:val="21"/>
        </w:rPr>
        <w:t>份，甲方、乙方各贰份。甲方、乙方 及鉴定方签字盖章后生效，合同执行完毕自动失效。</w:t>
      </w:r>
    </w:p>
    <w:p w14:paraId="54B9F590">
      <w:pPr>
        <w:rPr>
          <w:rFonts w:hint="eastAsia" w:ascii="仿宋" w:hAnsi="仿宋" w:eastAsia="仿宋" w:cs="仿宋"/>
          <w:b w:val="0"/>
          <w:bCs w:val="0"/>
        </w:rPr>
      </w:pPr>
    </w:p>
    <w:tbl>
      <w:tblPr>
        <w:tblStyle w:val="5"/>
        <w:tblW w:w="0" w:type="auto"/>
        <w:tblInd w:w="0" w:type="dxa"/>
        <w:tblLayout w:type="autofit"/>
        <w:tblCellMar>
          <w:top w:w="0" w:type="dxa"/>
          <w:left w:w="108" w:type="dxa"/>
          <w:bottom w:w="0" w:type="dxa"/>
          <w:right w:w="108" w:type="dxa"/>
        </w:tblCellMar>
      </w:tblPr>
      <w:tblGrid>
        <w:gridCol w:w="4261"/>
        <w:gridCol w:w="4261"/>
      </w:tblGrid>
      <w:tr w14:paraId="09B24A01">
        <w:tblPrEx>
          <w:tblCellMar>
            <w:top w:w="0" w:type="dxa"/>
            <w:left w:w="108" w:type="dxa"/>
            <w:bottom w:w="0" w:type="dxa"/>
            <w:right w:w="108" w:type="dxa"/>
          </w:tblCellMar>
        </w:tblPrEx>
        <w:trPr>
          <w:trHeight w:val="367" w:hRule="atLeast"/>
        </w:trPr>
        <w:tc>
          <w:tcPr>
            <w:tcW w:w="4469" w:type="dxa"/>
            <w:noWrap w:val="0"/>
            <w:vAlign w:val="top"/>
          </w:tcPr>
          <w:p w14:paraId="77990783">
            <w:pPr>
              <w:spacing w:line="360" w:lineRule="auto"/>
              <w:rPr>
                <w:rFonts w:hint="eastAsia" w:ascii="仿宋" w:hAnsi="仿宋" w:eastAsia="仿宋" w:cs="仿宋"/>
                <w:b w:val="0"/>
                <w:bCs w:val="0"/>
              </w:rPr>
            </w:pPr>
            <w:r>
              <w:rPr>
                <w:rFonts w:hint="eastAsia" w:ascii="仿宋" w:hAnsi="仿宋" w:eastAsia="仿宋" w:cs="仿宋"/>
                <w:b w:val="0"/>
                <w:bCs w:val="0"/>
              </w:rPr>
              <w:t xml:space="preserve">买方名称：西安市临潼区教育局（公章） </w:t>
            </w:r>
          </w:p>
        </w:tc>
        <w:tc>
          <w:tcPr>
            <w:tcW w:w="4470" w:type="dxa"/>
            <w:noWrap w:val="0"/>
            <w:vAlign w:val="top"/>
          </w:tcPr>
          <w:p w14:paraId="490B724F">
            <w:pPr>
              <w:spacing w:line="360" w:lineRule="auto"/>
              <w:rPr>
                <w:rFonts w:hint="eastAsia" w:ascii="仿宋" w:hAnsi="仿宋" w:eastAsia="仿宋" w:cs="仿宋"/>
                <w:b w:val="0"/>
                <w:bCs w:val="0"/>
              </w:rPr>
            </w:pPr>
            <w:r>
              <w:rPr>
                <w:rFonts w:hint="eastAsia" w:ascii="仿宋" w:hAnsi="仿宋" w:eastAsia="仿宋" w:cs="仿宋"/>
                <w:b w:val="0"/>
                <w:bCs w:val="0"/>
              </w:rPr>
              <w:t xml:space="preserve">卖方名称：（公章） </w:t>
            </w:r>
          </w:p>
        </w:tc>
      </w:tr>
      <w:tr w14:paraId="430B22C0">
        <w:tblPrEx>
          <w:tblCellMar>
            <w:top w:w="0" w:type="dxa"/>
            <w:left w:w="108" w:type="dxa"/>
            <w:bottom w:w="0" w:type="dxa"/>
            <w:right w:w="108" w:type="dxa"/>
          </w:tblCellMar>
        </w:tblPrEx>
        <w:trPr>
          <w:trHeight w:val="367" w:hRule="atLeast"/>
        </w:trPr>
        <w:tc>
          <w:tcPr>
            <w:tcW w:w="4469" w:type="dxa"/>
            <w:noWrap w:val="0"/>
            <w:vAlign w:val="top"/>
          </w:tcPr>
          <w:p w14:paraId="53EA68F0">
            <w:pPr>
              <w:spacing w:line="360" w:lineRule="auto"/>
              <w:rPr>
                <w:rFonts w:hint="eastAsia" w:ascii="仿宋" w:hAnsi="仿宋" w:eastAsia="仿宋" w:cs="仿宋"/>
                <w:b w:val="0"/>
                <w:bCs w:val="0"/>
              </w:rPr>
            </w:pPr>
            <w:r>
              <w:rPr>
                <w:rFonts w:hint="eastAsia" w:ascii="仿宋" w:hAnsi="仿宋" w:eastAsia="仿宋" w:cs="仿宋"/>
                <w:b w:val="0"/>
                <w:bCs w:val="0"/>
              </w:rPr>
              <w:t xml:space="preserve">地 址：临潼区人民东路55号 </w:t>
            </w:r>
          </w:p>
        </w:tc>
        <w:tc>
          <w:tcPr>
            <w:tcW w:w="4470" w:type="dxa"/>
            <w:noWrap w:val="0"/>
            <w:vAlign w:val="top"/>
          </w:tcPr>
          <w:p w14:paraId="574C52E3">
            <w:pPr>
              <w:spacing w:line="360" w:lineRule="auto"/>
              <w:rPr>
                <w:rFonts w:hint="eastAsia" w:ascii="仿宋" w:hAnsi="仿宋" w:eastAsia="仿宋" w:cs="仿宋"/>
                <w:b w:val="0"/>
                <w:bCs w:val="0"/>
              </w:rPr>
            </w:pPr>
            <w:r>
              <w:rPr>
                <w:rFonts w:hint="eastAsia" w:ascii="仿宋" w:hAnsi="仿宋" w:eastAsia="仿宋" w:cs="仿宋"/>
                <w:b w:val="0"/>
                <w:bCs w:val="0"/>
              </w:rPr>
              <w:t xml:space="preserve">地 址： </w:t>
            </w:r>
          </w:p>
        </w:tc>
      </w:tr>
      <w:tr w14:paraId="5208147E">
        <w:tblPrEx>
          <w:tblCellMar>
            <w:top w:w="0" w:type="dxa"/>
            <w:left w:w="108" w:type="dxa"/>
            <w:bottom w:w="0" w:type="dxa"/>
            <w:right w:w="108" w:type="dxa"/>
          </w:tblCellMar>
        </w:tblPrEx>
        <w:trPr>
          <w:trHeight w:val="367" w:hRule="atLeast"/>
        </w:trPr>
        <w:tc>
          <w:tcPr>
            <w:tcW w:w="4469" w:type="dxa"/>
            <w:noWrap w:val="0"/>
            <w:vAlign w:val="top"/>
          </w:tcPr>
          <w:p w14:paraId="2FDC2A43">
            <w:pPr>
              <w:spacing w:line="360" w:lineRule="auto"/>
              <w:rPr>
                <w:rFonts w:hint="eastAsia" w:ascii="仿宋" w:hAnsi="仿宋" w:eastAsia="仿宋" w:cs="仿宋"/>
                <w:b w:val="0"/>
                <w:bCs w:val="0"/>
              </w:rPr>
            </w:pPr>
            <w:r>
              <w:rPr>
                <w:rFonts w:hint="eastAsia" w:ascii="仿宋" w:hAnsi="仿宋" w:eastAsia="仿宋" w:cs="仿宋"/>
                <w:b w:val="0"/>
                <w:bCs w:val="0"/>
              </w:rPr>
              <w:t xml:space="preserve">邮 编： </w:t>
            </w:r>
          </w:p>
        </w:tc>
        <w:tc>
          <w:tcPr>
            <w:tcW w:w="4470" w:type="dxa"/>
            <w:noWrap w:val="0"/>
            <w:vAlign w:val="top"/>
          </w:tcPr>
          <w:p w14:paraId="44773EA8">
            <w:pPr>
              <w:spacing w:line="360" w:lineRule="auto"/>
              <w:rPr>
                <w:rFonts w:hint="eastAsia" w:ascii="仿宋" w:hAnsi="仿宋" w:eastAsia="仿宋" w:cs="仿宋"/>
                <w:b w:val="0"/>
                <w:bCs w:val="0"/>
              </w:rPr>
            </w:pPr>
            <w:r>
              <w:rPr>
                <w:rFonts w:hint="eastAsia" w:ascii="仿宋" w:hAnsi="仿宋" w:eastAsia="仿宋" w:cs="仿宋"/>
                <w:b w:val="0"/>
                <w:bCs w:val="0"/>
              </w:rPr>
              <w:t xml:space="preserve">邮 编： </w:t>
            </w:r>
          </w:p>
        </w:tc>
      </w:tr>
      <w:tr w14:paraId="6BE508F0">
        <w:tblPrEx>
          <w:tblCellMar>
            <w:top w:w="0" w:type="dxa"/>
            <w:left w:w="108" w:type="dxa"/>
            <w:bottom w:w="0" w:type="dxa"/>
            <w:right w:w="108" w:type="dxa"/>
          </w:tblCellMar>
        </w:tblPrEx>
        <w:trPr>
          <w:trHeight w:val="367" w:hRule="atLeast"/>
        </w:trPr>
        <w:tc>
          <w:tcPr>
            <w:tcW w:w="4469" w:type="dxa"/>
            <w:noWrap w:val="0"/>
            <w:vAlign w:val="top"/>
          </w:tcPr>
          <w:p w14:paraId="23FB159A">
            <w:pPr>
              <w:spacing w:line="360" w:lineRule="auto"/>
              <w:rPr>
                <w:rFonts w:hint="eastAsia" w:ascii="仿宋" w:hAnsi="仿宋" w:eastAsia="仿宋" w:cs="仿宋"/>
                <w:b w:val="0"/>
                <w:bCs w:val="0"/>
              </w:rPr>
            </w:pPr>
            <w:r>
              <w:rPr>
                <w:rFonts w:hint="eastAsia" w:ascii="仿宋" w:hAnsi="仿宋" w:eastAsia="仿宋" w:cs="仿宋"/>
                <w:b w:val="0"/>
                <w:bCs w:val="0"/>
              </w:rPr>
              <w:t xml:space="preserve">电 话： </w:t>
            </w:r>
          </w:p>
        </w:tc>
        <w:tc>
          <w:tcPr>
            <w:tcW w:w="4470" w:type="dxa"/>
            <w:noWrap w:val="0"/>
            <w:vAlign w:val="top"/>
          </w:tcPr>
          <w:p w14:paraId="53FC78FA">
            <w:pPr>
              <w:spacing w:line="360" w:lineRule="auto"/>
              <w:rPr>
                <w:rFonts w:hint="eastAsia" w:ascii="仿宋" w:hAnsi="仿宋" w:eastAsia="仿宋" w:cs="仿宋"/>
                <w:b w:val="0"/>
                <w:bCs w:val="0"/>
              </w:rPr>
            </w:pPr>
            <w:r>
              <w:rPr>
                <w:rFonts w:hint="eastAsia" w:ascii="仿宋" w:hAnsi="仿宋" w:eastAsia="仿宋" w:cs="仿宋"/>
                <w:b w:val="0"/>
                <w:bCs w:val="0"/>
              </w:rPr>
              <w:t xml:space="preserve">电 话： </w:t>
            </w:r>
          </w:p>
        </w:tc>
      </w:tr>
      <w:tr w14:paraId="23779A3B">
        <w:tblPrEx>
          <w:tblCellMar>
            <w:top w:w="0" w:type="dxa"/>
            <w:left w:w="108" w:type="dxa"/>
            <w:bottom w:w="0" w:type="dxa"/>
            <w:right w:w="108" w:type="dxa"/>
          </w:tblCellMar>
        </w:tblPrEx>
        <w:trPr>
          <w:trHeight w:val="367" w:hRule="atLeast"/>
        </w:trPr>
        <w:tc>
          <w:tcPr>
            <w:tcW w:w="4469" w:type="dxa"/>
            <w:noWrap w:val="0"/>
            <w:vAlign w:val="top"/>
          </w:tcPr>
          <w:p w14:paraId="59AC0CDC">
            <w:pPr>
              <w:spacing w:line="360" w:lineRule="auto"/>
              <w:rPr>
                <w:rFonts w:hint="eastAsia" w:ascii="仿宋" w:hAnsi="仿宋" w:eastAsia="仿宋" w:cs="仿宋"/>
                <w:b w:val="0"/>
                <w:bCs w:val="0"/>
              </w:rPr>
            </w:pPr>
            <w:r>
              <w:rPr>
                <w:rFonts w:hint="eastAsia" w:ascii="仿宋" w:hAnsi="仿宋" w:eastAsia="仿宋" w:cs="仿宋"/>
                <w:b w:val="0"/>
                <w:bCs w:val="0"/>
              </w:rPr>
              <w:t xml:space="preserve">传 真： </w:t>
            </w:r>
          </w:p>
        </w:tc>
        <w:tc>
          <w:tcPr>
            <w:tcW w:w="4470" w:type="dxa"/>
            <w:noWrap w:val="0"/>
            <w:vAlign w:val="top"/>
          </w:tcPr>
          <w:p w14:paraId="16A8F4A0">
            <w:pPr>
              <w:spacing w:line="360" w:lineRule="auto"/>
              <w:rPr>
                <w:rFonts w:hint="eastAsia" w:ascii="仿宋" w:hAnsi="仿宋" w:eastAsia="仿宋" w:cs="仿宋"/>
                <w:b w:val="0"/>
                <w:bCs w:val="0"/>
              </w:rPr>
            </w:pPr>
            <w:r>
              <w:rPr>
                <w:rFonts w:hint="eastAsia" w:ascii="仿宋" w:hAnsi="仿宋" w:eastAsia="仿宋" w:cs="仿宋"/>
                <w:b w:val="0"/>
                <w:bCs w:val="0"/>
              </w:rPr>
              <w:t xml:space="preserve">传 真： </w:t>
            </w:r>
          </w:p>
        </w:tc>
      </w:tr>
      <w:tr w14:paraId="0579BD6E">
        <w:tblPrEx>
          <w:tblCellMar>
            <w:top w:w="0" w:type="dxa"/>
            <w:left w:w="108" w:type="dxa"/>
            <w:bottom w:w="0" w:type="dxa"/>
            <w:right w:w="108" w:type="dxa"/>
          </w:tblCellMar>
        </w:tblPrEx>
        <w:trPr>
          <w:trHeight w:val="367" w:hRule="atLeast"/>
        </w:trPr>
        <w:tc>
          <w:tcPr>
            <w:tcW w:w="4469" w:type="dxa"/>
            <w:noWrap w:val="0"/>
            <w:vAlign w:val="top"/>
          </w:tcPr>
          <w:p w14:paraId="731D00B5">
            <w:pPr>
              <w:spacing w:line="360" w:lineRule="auto"/>
              <w:rPr>
                <w:rFonts w:hint="eastAsia" w:ascii="仿宋" w:hAnsi="仿宋" w:eastAsia="仿宋" w:cs="仿宋"/>
                <w:b w:val="0"/>
                <w:bCs w:val="0"/>
              </w:rPr>
            </w:pPr>
          </w:p>
        </w:tc>
        <w:tc>
          <w:tcPr>
            <w:tcW w:w="4470" w:type="dxa"/>
            <w:noWrap w:val="0"/>
            <w:vAlign w:val="top"/>
          </w:tcPr>
          <w:p w14:paraId="3AD4B08C">
            <w:pPr>
              <w:spacing w:line="360" w:lineRule="auto"/>
              <w:rPr>
                <w:rFonts w:hint="eastAsia" w:ascii="仿宋" w:hAnsi="仿宋" w:eastAsia="仿宋" w:cs="仿宋"/>
                <w:b w:val="0"/>
                <w:bCs w:val="0"/>
              </w:rPr>
            </w:pPr>
            <w:r>
              <w:rPr>
                <w:rFonts w:hint="eastAsia" w:ascii="仿宋" w:hAnsi="仿宋" w:eastAsia="仿宋" w:cs="仿宋"/>
                <w:b w:val="0"/>
                <w:bCs w:val="0"/>
              </w:rPr>
              <w:t xml:space="preserve">开户银行： </w:t>
            </w:r>
          </w:p>
        </w:tc>
      </w:tr>
      <w:tr w14:paraId="2394EA4F">
        <w:tblPrEx>
          <w:tblCellMar>
            <w:top w:w="0" w:type="dxa"/>
            <w:left w:w="108" w:type="dxa"/>
            <w:bottom w:w="0" w:type="dxa"/>
            <w:right w:w="108" w:type="dxa"/>
          </w:tblCellMar>
        </w:tblPrEx>
        <w:trPr>
          <w:trHeight w:val="367" w:hRule="atLeast"/>
        </w:trPr>
        <w:tc>
          <w:tcPr>
            <w:tcW w:w="4469" w:type="dxa"/>
            <w:noWrap w:val="0"/>
            <w:vAlign w:val="top"/>
          </w:tcPr>
          <w:p w14:paraId="0499FE36">
            <w:pPr>
              <w:spacing w:line="360" w:lineRule="auto"/>
              <w:rPr>
                <w:rFonts w:hint="eastAsia" w:ascii="仿宋" w:hAnsi="仿宋" w:eastAsia="仿宋" w:cs="仿宋"/>
                <w:b w:val="0"/>
                <w:bCs w:val="0"/>
              </w:rPr>
            </w:pPr>
          </w:p>
        </w:tc>
        <w:tc>
          <w:tcPr>
            <w:tcW w:w="4470" w:type="dxa"/>
            <w:noWrap w:val="0"/>
            <w:vAlign w:val="top"/>
          </w:tcPr>
          <w:p w14:paraId="73462A45">
            <w:pPr>
              <w:spacing w:line="360" w:lineRule="auto"/>
              <w:rPr>
                <w:rFonts w:hint="eastAsia" w:ascii="仿宋" w:hAnsi="仿宋" w:eastAsia="仿宋" w:cs="仿宋"/>
                <w:b w:val="0"/>
                <w:bCs w:val="0"/>
              </w:rPr>
            </w:pPr>
            <w:r>
              <w:rPr>
                <w:rFonts w:hint="eastAsia" w:ascii="仿宋" w:hAnsi="仿宋" w:eastAsia="仿宋" w:cs="仿宋"/>
                <w:b w:val="0"/>
                <w:bCs w:val="0"/>
              </w:rPr>
              <w:t xml:space="preserve">帐 号： </w:t>
            </w:r>
          </w:p>
        </w:tc>
      </w:tr>
      <w:tr w14:paraId="5AF94D9D">
        <w:tblPrEx>
          <w:tblCellMar>
            <w:top w:w="0" w:type="dxa"/>
            <w:left w:w="108" w:type="dxa"/>
            <w:bottom w:w="0" w:type="dxa"/>
            <w:right w:w="108" w:type="dxa"/>
          </w:tblCellMar>
        </w:tblPrEx>
        <w:trPr>
          <w:trHeight w:val="367" w:hRule="atLeast"/>
        </w:trPr>
        <w:tc>
          <w:tcPr>
            <w:tcW w:w="4469" w:type="dxa"/>
            <w:noWrap w:val="0"/>
            <w:vAlign w:val="top"/>
          </w:tcPr>
          <w:p w14:paraId="6352B2A6">
            <w:pPr>
              <w:spacing w:line="360" w:lineRule="auto"/>
              <w:rPr>
                <w:rFonts w:hint="eastAsia" w:ascii="仿宋" w:hAnsi="仿宋" w:eastAsia="仿宋" w:cs="仿宋"/>
                <w:b w:val="0"/>
                <w:bCs w:val="0"/>
              </w:rPr>
            </w:pPr>
            <w:r>
              <w:rPr>
                <w:rFonts w:hint="eastAsia" w:ascii="仿宋" w:hAnsi="仿宋" w:eastAsia="仿宋" w:cs="仿宋"/>
                <w:b w:val="0"/>
                <w:bCs w:val="0"/>
              </w:rPr>
              <w:t xml:space="preserve">代表签字： </w:t>
            </w:r>
          </w:p>
        </w:tc>
        <w:tc>
          <w:tcPr>
            <w:tcW w:w="4470" w:type="dxa"/>
            <w:noWrap w:val="0"/>
            <w:vAlign w:val="top"/>
          </w:tcPr>
          <w:p w14:paraId="77732039">
            <w:pPr>
              <w:spacing w:line="360" w:lineRule="auto"/>
              <w:rPr>
                <w:rFonts w:hint="eastAsia" w:ascii="仿宋" w:hAnsi="仿宋" w:eastAsia="仿宋" w:cs="仿宋"/>
                <w:b w:val="0"/>
                <w:bCs w:val="0"/>
              </w:rPr>
            </w:pPr>
            <w:r>
              <w:rPr>
                <w:rFonts w:hint="eastAsia" w:ascii="仿宋" w:hAnsi="仿宋" w:eastAsia="仿宋" w:cs="仿宋"/>
                <w:b w:val="0"/>
                <w:bCs w:val="0"/>
              </w:rPr>
              <w:t xml:space="preserve">代表签字： </w:t>
            </w:r>
          </w:p>
        </w:tc>
      </w:tr>
      <w:tr w14:paraId="34363038">
        <w:tblPrEx>
          <w:tblCellMar>
            <w:top w:w="0" w:type="dxa"/>
            <w:left w:w="108" w:type="dxa"/>
            <w:bottom w:w="0" w:type="dxa"/>
            <w:right w:w="108" w:type="dxa"/>
          </w:tblCellMar>
        </w:tblPrEx>
        <w:trPr>
          <w:trHeight w:val="367" w:hRule="atLeast"/>
        </w:trPr>
        <w:tc>
          <w:tcPr>
            <w:tcW w:w="4469" w:type="dxa"/>
            <w:noWrap w:val="0"/>
            <w:vAlign w:val="top"/>
          </w:tcPr>
          <w:p w14:paraId="325C0C5D">
            <w:pPr>
              <w:spacing w:line="360" w:lineRule="auto"/>
              <w:rPr>
                <w:rFonts w:hint="eastAsia" w:ascii="仿宋" w:hAnsi="仿宋" w:eastAsia="仿宋" w:cs="仿宋"/>
                <w:b w:val="0"/>
                <w:bCs w:val="0"/>
              </w:rPr>
            </w:pPr>
            <w:r>
              <w:rPr>
                <w:rFonts w:hint="eastAsia" w:ascii="仿宋" w:hAnsi="仿宋" w:eastAsia="仿宋" w:cs="仿宋"/>
                <w:b w:val="0"/>
                <w:bCs w:val="0"/>
              </w:rPr>
              <w:t>日 期：   年    月    日</w:t>
            </w:r>
          </w:p>
        </w:tc>
        <w:tc>
          <w:tcPr>
            <w:tcW w:w="4470" w:type="dxa"/>
            <w:noWrap w:val="0"/>
            <w:vAlign w:val="top"/>
          </w:tcPr>
          <w:p w14:paraId="07ABB11D">
            <w:pPr>
              <w:spacing w:line="360" w:lineRule="auto"/>
              <w:rPr>
                <w:rFonts w:hint="eastAsia" w:ascii="仿宋" w:hAnsi="仿宋" w:eastAsia="仿宋" w:cs="仿宋"/>
                <w:b w:val="0"/>
                <w:bCs w:val="0"/>
              </w:rPr>
            </w:pPr>
            <w:r>
              <w:rPr>
                <w:rFonts w:hint="eastAsia" w:ascii="仿宋" w:hAnsi="仿宋" w:eastAsia="仿宋" w:cs="仿宋"/>
                <w:b w:val="0"/>
                <w:bCs w:val="0"/>
              </w:rPr>
              <w:t>日 期：   年    月    日</w:t>
            </w:r>
          </w:p>
        </w:tc>
      </w:tr>
    </w:tbl>
    <w:p w14:paraId="29A6F2AE">
      <w:r>
        <w:br w:type="page"/>
      </w:r>
    </w:p>
    <w:p w14:paraId="72589E44">
      <w:pPr>
        <w:pStyle w:val="3"/>
        <w:outlineLvl w:val="0"/>
        <w:rPr>
          <w:rFonts w:hint="eastAsia" w:ascii="仿宋" w:hAnsi="仿宋" w:eastAsia="仿宋" w:cs="仿宋"/>
          <w:b w:val="0"/>
          <w:bCs w:val="0"/>
          <w:sz w:val="28"/>
          <w:szCs w:val="28"/>
        </w:rPr>
      </w:pPr>
      <w:r>
        <w:rPr>
          <w:rFonts w:hint="eastAsia" w:ascii="仿宋" w:hAnsi="仿宋" w:eastAsia="仿宋" w:cs="仿宋"/>
          <w:b w:val="0"/>
          <w:bCs w:val="0"/>
          <w:sz w:val="28"/>
          <w:szCs w:val="28"/>
        </w:rPr>
        <w:t>包</w:t>
      </w: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rPr>
        <w:t>4、5合同条款及格式</w:t>
      </w:r>
    </w:p>
    <w:p w14:paraId="3C4A9C81">
      <w:pPr>
        <w:pStyle w:val="3"/>
        <w:rPr>
          <w:rFonts w:hint="eastAsia" w:ascii="仿宋" w:hAnsi="仿宋" w:eastAsia="仿宋" w:cs="仿宋"/>
          <w:b w:val="0"/>
          <w:bCs w:val="0"/>
          <w:szCs w:val="21"/>
        </w:rPr>
      </w:pPr>
      <w:r>
        <w:rPr>
          <w:rFonts w:hint="eastAsia" w:ascii="仿宋" w:hAnsi="仿宋" w:eastAsia="仿宋" w:cs="仿宋"/>
          <w:b w:val="0"/>
          <w:bCs w:val="0"/>
          <w:szCs w:val="21"/>
        </w:rPr>
        <w:t>(本格式条款供双方签订合同参考，采购人可根据项目的实际情况增减条款和内容)</w:t>
      </w:r>
    </w:p>
    <w:p w14:paraId="2DB859D1">
      <w:pPr>
        <w:spacing w:line="360" w:lineRule="auto"/>
        <w:jc w:val="center"/>
        <w:rPr>
          <w:rFonts w:hint="eastAsia" w:ascii="仿宋" w:hAnsi="仿宋" w:eastAsia="仿宋" w:cs="仿宋"/>
          <w:b w:val="0"/>
          <w:bCs w:val="0"/>
          <w:szCs w:val="21"/>
        </w:rPr>
      </w:pPr>
      <w:r>
        <w:rPr>
          <w:rFonts w:hint="eastAsia" w:ascii="仿宋" w:hAnsi="仿宋" w:eastAsia="仿宋" w:cs="仿宋"/>
          <w:b w:val="0"/>
          <w:bCs w:val="0"/>
          <w:szCs w:val="21"/>
        </w:rPr>
        <w:t>（仅供参考，均适用于包</w:t>
      </w:r>
      <w:r>
        <w:rPr>
          <w:rFonts w:hint="eastAsia" w:ascii="仿宋" w:hAnsi="仿宋" w:eastAsia="仿宋" w:cs="仿宋"/>
          <w:b w:val="0"/>
          <w:bCs w:val="0"/>
          <w:szCs w:val="21"/>
          <w:lang w:val="en-US" w:eastAsia="zh-CN"/>
        </w:rPr>
        <w:t>3、</w:t>
      </w:r>
      <w:r>
        <w:rPr>
          <w:rFonts w:hint="eastAsia" w:ascii="仿宋" w:hAnsi="仿宋" w:eastAsia="仿宋" w:cs="仿宋"/>
          <w:b w:val="0"/>
          <w:bCs w:val="0"/>
          <w:szCs w:val="21"/>
        </w:rPr>
        <w:t>4、5）</w:t>
      </w:r>
    </w:p>
    <w:p w14:paraId="27CFDCD8">
      <w:pPr>
        <w:pStyle w:val="3"/>
        <w:spacing w:line="420" w:lineRule="exact"/>
        <w:ind w:firstLine="420" w:firstLineChars="200"/>
        <w:jc w:val="left"/>
        <w:rPr>
          <w:rFonts w:hint="eastAsia" w:ascii="仿宋" w:hAnsi="仿宋" w:eastAsia="仿宋" w:cs="仿宋"/>
          <w:b w:val="0"/>
          <w:bCs w:val="0"/>
        </w:rPr>
      </w:pPr>
      <w:r>
        <w:rPr>
          <w:rFonts w:hint="eastAsia" w:ascii="仿宋" w:hAnsi="仿宋" w:eastAsia="仿宋" w:cs="仿宋"/>
          <w:b w:val="0"/>
          <w:bCs w:val="0"/>
          <w:u w:val="single"/>
          <w:lang w:val="en-US" w:eastAsia="zh-CN"/>
        </w:rPr>
        <w:t>西安市临潼区教育局2025-2026学年度营养改善计划营养早餐及大宗食材采购项目</w:t>
      </w:r>
      <w:r>
        <w:rPr>
          <w:rFonts w:hint="eastAsia" w:ascii="仿宋" w:hAnsi="仿宋" w:eastAsia="仿宋" w:cs="仿宋"/>
          <w:b w:val="0"/>
          <w:bCs w:val="0"/>
        </w:rPr>
        <w:t xml:space="preserve"> (项目编号：ZXGJLTFGS-2025-011)，在西安市临潼区财政局的监督管理下，在西安市临潼区教育局的共同参与下，由</w:t>
      </w:r>
      <w:r>
        <w:rPr>
          <w:rFonts w:hint="eastAsia" w:ascii="仿宋" w:hAnsi="仿宋" w:eastAsia="仿宋" w:cs="仿宋"/>
          <w:b w:val="0"/>
          <w:bCs w:val="0"/>
          <w:szCs w:val="21"/>
        </w:rPr>
        <w:t>中昕国际项目管理有限公司</w:t>
      </w:r>
      <w:r>
        <w:rPr>
          <w:rFonts w:hint="eastAsia" w:ascii="仿宋" w:hAnsi="仿宋" w:eastAsia="仿宋" w:cs="仿宋"/>
          <w:b w:val="0"/>
          <w:bCs w:val="0"/>
        </w:rPr>
        <w:t>组织公开招标。 最终确定 (中标单位名称) （以下简称“卖方”）为本项目第（ ）</w:t>
      </w:r>
      <w:r>
        <w:rPr>
          <w:rFonts w:hint="eastAsia" w:ascii="仿宋" w:hAnsi="仿宋" w:eastAsia="仿宋" w:cs="仿宋"/>
          <w:b w:val="0"/>
          <w:bCs w:val="0"/>
          <w:lang w:val="en-US" w:eastAsia="zh-CN"/>
        </w:rPr>
        <w:t>包</w:t>
      </w:r>
      <w:r>
        <w:rPr>
          <w:rFonts w:hint="eastAsia" w:ascii="仿宋" w:hAnsi="仿宋" w:eastAsia="仿宋" w:cs="仿宋"/>
          <w:b w:val="0"/>
          <w:bCs w:val="0"/>
        </w:rPr>
        <w:t xml:space="preserve">的中标单位。 </w:t>
      </w:r>
    </w:p>
    <w:p w14:paraId="5C602809">
      <w:pPr>
        <w:spacing w:line="360" w:lineRule="auto"/>
        <w:ind w:firstLine="420" w:firstLineChars="200"/>
        <w:rPr>
          <w:rFonts w:hint="eastAsia" w:ascii="仿宋" w:hAnsi="仿宋" w:eastAsia="仿宋" w:cs="仿宋"/>
          <w:b w:val="0"/>
          <w:bCs w:val="0"/>
          <w:u w:val="single"/>
          <w:lang w:val="en-US" w:eastAsia="zh-CN"/>
        </w:rPr>
      </w:pPr>
      <w:r>
        <w:rPr>
          <w:rFonts w:hint="eastAsia" w:ascii="仿宋" w:hAnsi="仿宋" w:eastAsia="仿宋" w:cs="仿宋"/>
          <w:b w:val="0"/>
          <w:bCs w:val="0"/>
        </w:rPr>
        <w:t xml:space="preserve">买方： </w:t>
      </w:r>
      <w:r>
        <w:rPr>
          <w:rFonts w:hint="eastAsia" w:ascii="仿宋" w:hAnsi="仿宋" w:eastAsia="仿宋" w:cs="仿宋"/>
          <w:b w:val="0"/>
          <w:bCs w:val="0"/>
          <w:u w:val="single"/>
          <w:lang w:val="en-US" w:eastAsia="zh-CN"/>
        </w:rPr>
        <w:t xml:space="preserve">           </w:t>
      </w:r>
    </w:p>
    <w:p w14:paraId="0BA780D5">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卖方：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rPr>
        <w:t xml:space="preserve">(中标单位名称) </w:t>
      </w:r>
    </w:p>
    <w:p w14:paraId="555022C6">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依据《中华人民共和国民法典》和《中华人民共和国政府采购法》，买方通过公开招标采购（大米、小麦粉、食用油），并接受了卖方以价格(中标金额大写)(中标单价)提供的产品及服务。 </w:t>
      </w:r>
    </w:p>
    <w:p w14:paraId="1194A3D5">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一、买方向卖方提供货物：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1"/>
        <w:gridCol w:w="1063"/>
        <w:gridCol w:w="1064"/>
        <w:gridCol w:w="1064"/>
        <w:gridCol w:w="1065"/>
        <w:gridCol w:w="1065"/>
        <w:gridCol w:w="1065"/>
        <w:gridCol w:w="1065"/>
      </w:tblGrid>
      <w:tr w14:paraId="082D3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8" w:type="dxa"/>
            <w:noWrap w:val="0"/>
            <w:vAlign w:val="top"/>
          </w:tcPr>
          <w:p w14:paraId="6BE59699">
            <w:pPr>
              <w:spacing w:line="360" w:lineRule="auto"/>
              <w:jc w:val="center"/>
              <w:rPr>
                <w:rFonts w:hint="eastAsia" w:ascii="仿宋" w:hAnsi="仿宋" w:eastAsia="仿宋" w:cs="仿宋"/>
                <w:b w:val="0"/>
                <w:bCs w:val="0"/>
              </w:rPr>
            </w:pPr>
            <w:r>
              <w:rPr>
                <w:rFonts w:hint="eastAsia" w:ascii="仿宋" w:hAnsi="仿宋" w:eastAsia="仿宋" w:cs="仿宋"/>
                <w:b w:val="0"/>
                <w:bCs w:val="0"/>
              </w:rPr>
              <w:t>序号</w:t>
            </w:r>
          </w:p>
        </w:tc>
        <w:tc>
          <w:tcPr>
            <w:tcW w:w="1118" w:type="dxa"/>
            <w:noWrap w:val="0"/>
            <w:vAlign w:val="top"/>
          </w:tcPr>
          <w:p w14:paraId="3DE42FB0">
            <w:pPr>
              <w:spacing w:line="360" w:lineRule="auto"/>
              <w:jc w:val="center"/>
              <w:rPr>
                <w:rFonts w:hint="eastAsia" w:ascii="仿宋" w:hAnsi="仿宋" w:eastAsia="仿宋" w:cs="仿宋"/>
                <w:b w:val="0"/>
                <w:bCs w:val="0"/>
              </w:rPr>
            </w:pPr>
            <w:r>
              <w:rPr>
                <w:rFonts w:hint="eastAsia" w:ascii="仿宋" w:hAnsi="仿宋" w:eastAsia="仿宋" w:cs="仿宋"/>
                <w:b w:val="0"/>
                <w:bCs w:val="0"/>
              </w:rPr>
              <w:t>名称</w:t>
            </w:r>
          </w:p>
        </w:tc>
        <w:tc>
          <w:tcPr>
            <w:tcW w:w="1118" w:type="dxa"/>
            <w:noWrap w:val="0"/>
            <w:vAlign w:val="top"/>
          </w:tcPr>
          <w:p w14:paraId="4690825E">
            <w:pPr>
              <w:spacing w:line="360" w:lineRule="auto"/>
              <w:jc w:val="center"/>
              <w:rPr>
                <w:rFonts w:hint="eastAsia" w:ascii="仿宋" w:hAnsi="仿宋" w:eastAsia="仿宋" w:cs="仿宋"/>
                <w:b w:val="0"/>
                <w:bCs w:val="0"/>
              </w:rPr>
            </w:pPr>
            <w:r>
              <w:rPr>
                <w:rFonts w:hint="eastAsia" w:ascii="仿宋" w:hAnsi="仿宋" w:eastAsia="仿宋" w:cs="仿宋"/>
                <w:b w:val="0"/>
                <w:bCs w:val="0"/>
              </w:rPr>
              <w:t>规格</w:t>
            </w:r>
          </w:p>
        </w:tc>
        <w:tc>
          <w:tcPr>
            <w:tcW w:w="1118" w:type="dxa"/>
            <w:noWrap w:val="0"/>
            <w:vAlign w:val="top"/>
          </w:tcPr>
          <w:p w14:paraId="5DBEF7AF">
            <w:pPr>
              <w:spacing w:line="360" w:lineRule="auto"/>
              <w:jc w:val="center"/>
              <w:rPr>
                <w:rFonts w:hint="eastAsia" w:ascii="仿宋" w:hAnsi="仿宋" w:eastAsia="仿宋" w:cs="仿宋"/>
                <w:b w:val="0"/>
                <w:bCs w:val="0"/>
              </w:rPr>
            </w:pPr>
            <w:r>
              <w:rPr>
                <w:rFonts w:hint="eastAsia" w:ascii="仿宋" w:hAnsi="仿宋" w:eastAsia="仿宋" w:cs="仿宋"/>
                <w:b w:val="0"/>
                <w:bCs w:val="0"/>
              </w:rPr>
              <w:t>包装形式</w:t>
            </w:r>
          </w:p>
        </w:tc>
        <w:tc>
          <w:tcPr>
            <w:tcW w:w="1119" w:type="dxa"/>
            <w:noWrap w:val="0"/>
            <w:vAlign w:val="top"/>
          </w:tcPr>
          <w:p w14:paraId="16A2BE0D">
            <w:pPr>
              <w:spacing w:line="360" w:lineRule="auto"/>
              <w:jc w:val="center"/>
              <w:rPr>
                <w:rFonts w:hint="eastAsia" w:ascii="仿宋" w:hAnsi="仿宋" w:eastAsia="仿宋" w:cs="仿宋"/>
                <w:b w:val="0"/>
                <w:bCs w:val="0"/>
              </w:rPr>
            </w:pPr>
            <w:r>
              <w:rPr>
                <w:rFonts w:hint="eastAsia" w:ascii="仿宋" w:hAnsi="仿宋" w:eastAsia="仿宋" w:cs="仿宋"/>
                <w:b w:val="0"/>
                <w:bCs w:val="0"/>
              </w:rPr>
              <w:t>品牌</w:t>
            </w:r>
          </w:p>
        </w:tc>
        <w:tc>
          <w:tcPr>
            <w:tcW w:w="1119" w:type="dxa"/>
            <w:noWrap w:val="0"/>
            <w:vAlign w:val="top"/>
          </w:tcPr>
          <w:p w14:paraId="23263BB4">
            <w:pPr>
              <w:spacing w:line="360" w:lineRule="auto"/>
              <w:jc w:val="center"/>
              <w:rPr>
                <w:rFonts w:hint="eastAsia" w:ascii="仿宋" w:hAnsi="仿宋" w:eastAsia="仿宋" w:cs="仿宋"/>
                <w:b w:val="0"/>
                <w:bCs w:val="0"/>
              </w:rPr>
            </w:pPr>
            <w:r>
              <w:rPr>
                <w:rFonts w:hint="eastAsia" w:ascii="仿宋" w:hAnsi="仿宋" w:eastAsia="仿宋" w:cs="仿宋"/>
                <w:b w:val="0"/>
                <w:bCs w:val="0"/>
              </w:rPr>
              <w:t>数量</w:t>
            </w:r>
          </w:p>
        </w:tc>
        <w:tc>
          <w:tcPr>
            <w:tcW w:w="1119" w:type="dxa"/>
            <w:noWrap w:val="0"/>
            <w:vAlign w:val="top"/>
          </w:tcPr>
          <w:p w14:paraId="0E45B683">
            <w:pPr>
              <w:spacing w:line="360" w:lineRule="auto"/>
              <w:jc w:val="center"/>
              <w:rPr>
                <w:rFonts w:hint="eastAsia" w:ascii="仿宋" w:hAnsi="仿宋" w:eastAsia="仿宋" w:cs="仿宋"/>
                <w:b w:val="0"/>
                <w:bCs w:val="0"/>
              </w:rPr>
            </w:pPr>
            <w:r>
              <w:rPr>
                <w:rFonts w:hint="eastAsia" w:ascii="仿宋" w:hAnsi="仿宋" w:eastAsia="仿宋" w:cs="仿宋"/>
                <w:b w:val="0"/>
                <w:bCs w:val="0"/>
              </w:rPr>
              <w:t>单价</w:t>
            </w:r>
          </w:p>
        </w:tc>
        <w:tc>
          <w:tcPr>
            <w:tcW w:w="1119" w:type="dxa"/>
            <w:noWrap w:val="0"/>
            <w:vAlign w:val="top"/>
          </w:tcPr>
          <w:p w14:paraId="4B66888C">
            <w:pPr>
              <w:spacing w:line="360" w:lineRule="auto"/>
              <w:jc w:val="center"/>
              <w:rPr>
                <w:rFonts w:hint="eastAsia" w:ascii="仿宋" w:hAnsi="仿宋" w:eastAsia="仿宋" w:cs="仿宋"/>
                <w:b w:val="0"/>
                <w:bCs w:val="0"/>
              </w:rPr>
            </w:pPr>
            <w:r>
              <w:rPr>
                <w:rFonts w:hint="eastAsia" w:ascii="仿宋" w:hAnsi="仿宋" w:eastAsia="仿宋" w:cs="仿宋"/>
                <w:b w:val="0"/>
                <w:bCs w:val="0"/>
              </w:rPr>
              <w:t>总价</w:t>
            </w:r>
          </w:p>
        </w:tc>
      </w:tr>
      <w:tr w14:paraId="44610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8" w:type="dxa"/>
            <w:noWrap w:val="0"/>
            <w:vAlign w:val="top"/>
          </w:tcPr>
          <w:p w14:paraId="4F27F696">
            <w:pPr>
              <w:spacing w:line="360" w:lineRule="auto"/>
              <w:jc w:val="center"/>
              <w:rPr>
                <w:rFonts w:hint="eastAsia" w:ascii="仿宋" w:hAnsi="仿宋" w:eastAsia="仿宋" w:cs="仿宋"/>
                <w:b w:val="0"/>
                <w:bCs w:val="0"/>
              </w:rPr>
            </w:pPr>
            <w:r>
              <w:rPr>
                <w:rFonts w:hint="eastAsia" w:ascii="仿宋" w:hAnsi="仿宋" w:eastAsia="仿宋" w:cs="仿宋"/>
                <w:b w:val="0"/>
                <w:bCs w:val="0"/>
              </w:rPr>
              <w:t>1</w:t>
            </w:r>
          </w:p>
        </w:tc>
        <w:tc>
          <w:tcPr>
            <w:tcW w:w="1118" w:type="dxa"/>
            <w:noWrap w:val="0"/>
            <w:vAlign w:val="top"/>
          </w:tcPr>
          <w:p w14:paraId="29D7C9C8">
            <w:pPr>
              <w:spacing w:line="360" w:lineRule="auto"/>
              <w:jc w:val="center"/>
              <w:rPr>
                <w:rFonts w:hint="eastAsia" w:ascii="仿宋" w:hAnsi="仿宋" w:eastAsia="仿宋" w:cs="仿宋"/>
                <w:b w:val="0"/>
                <w:bCs w:val="0"/>
              </w:rPr>
            </w:pPr>
          </w:p>
        </w:tc>
        <w:tc>
          <w:tcPr>
            <w:tcW w:w="1118" w:type="dxa"/>
            <w:noWrap w:val="0"/>
            <w:vAlign w:val="top"/>
          </w:tcPr>
          <w:p w14:paraId="742145AC">
            <w:pPr>
              <w:spacing w:line="360" w:lineRule="auto"/>
              <w:jc w:val="center"/>
              <w:rPr>
                <w:rFonts w:hint="eastAsia" w:ascii="仿宋" w:hAnsi="仿宋" w:eastAsia="仿宋" w:cs="仿宋"/>
                <w:b w:val="0"/>
                <w:bCs w:val="0"/>
              </w:rPr>
            </w:pPr>
          </w:p>
        </w:tc>
        <w:tc>
          <w:tcPr>
            <w:tcW w:w="1118" w:type="dxa"/>
            <w:noWrap w:val="0"/>
            <w:vAlign w:val="top"/>
          </w:tcPr>
          <w:p w14:paraId="72AAA8B2">
            <w:pPr>
              <w:spacing w:line="360" w:lineRule="auto"/>
              <w:jc w:val="center"/>
              <w:rPr>
                <w:rFonts w:hint="eastAsia" w:ascii="仿宋" w:hAnsi="仿宋" w:eastAsia="仿宋" w:cs="仿宋"/>
                <w:b w:val="0"/>
                <w:bCs w:val="0"/>
              </w:rPr>
            </w:pPr>
          </w:p>
        </w:tc>
        <w:tc>
          <w:tcPr>
            <w:tcW w:w="1119" w:type="dxa"/>
            <w:noWrap w:val="0"/>
            <w:vAlign w:val="top"/>
          </w:tcPr>
          <w:p w14:paraId="0135E7F2">
            <w:pPr>
              <w:spacing w:line="360" w:lineRule="auto"/>
              <w:jc w:val="center"/>
              <w:rPr>
                <w:rFonts w:hint="eastAsia" w:ascii="仿宋" w:hAnsi="仿宋" w:eastAsia="仿宋" w:cs="仿宋"/>
                <w:b w:val="0"/>
                <w:bCs w:val="0"/>
              </w:rPr>
            </w:pPr>
          </w:p>
        </w:tc>
        <w:tc>
          <w:tcPr>
            <w:tcW w:w="1119" w:type="dxa"/>
            <w:noWrap w:val="0"/>
            <w:vAlign w:val="top"/>
          </w:tcPr>
          <w:p w14:paraId="7A4D302A">
            <w:pPr>
              <w:spacing w:line="360" w:lineRule="auto"/>
              <w:jc w:val="center"/>
              <w:rPr>
                <w:rFonts w:hint="eastAsia" w:ascii="仿宋" w:hAnsi="仿宋" w:eastAsia="仿宋" w:cs="仿宋"/>
                <w:b w:val="0"/>
                <w:bCs w:val="0"/>
              </w:rPr>
            </w:pPr>
          </w:p>
        </w:tc>
        <w:tc>
          <w:tcPr>
            <w:tcW w:w="1119" w:type="dxa"/>
            <w:noWrap w:val="0"/>
            <w:vAlign w:val="top"/>
          </w:tcPr>
          <w:p w14:paraId="1101AC89">
            <w:pPr>
              <w:spacing w:line="360" w:lineRule="auto"/>
              <w:jc w:val="center"/>
              <w:rPr>
                <w:rFonts w:hint="eastAsia" w:ascii="仿宋" w:hAnsi="仿宋" w:eastAsia="仿宋" w:cs="仿宋"/>
                <w:b w:val="0"/>
                <w:bCs w:val="0"/>
              </w:rPr>
            </w:pPr>
          </w:p>
        </w:tc>
        <w:tc>
          <w:tcPr>
            <w:tcW w:w="1119" w:type="dxa"/>
            <w:noWrap w:val="0"/>
            <w:vAlign w:val="top"/>
          </w:tcPr>
          <w:p w14:paraId="45920F50">
            <w:pPr>
              <w:spacing w:line="360" w:lineRule="auto"/>
              <w:jc w:val="center"/>
              <w:rPr>
                <w:rFonts w:hint="eastAsia" w:ascii="仿宋" w:hAnsi="仿宋" w:eastAsia="仿宋" w:cs="仿宋"/>
                <w:b w:val="0"/>
                <w:bCs w:val="0"/>
              </w:rPr>
            </w:pPr>
          </w:p>
        </w:tc>
      </w:tr>
      <w:tr w14:paraId="45F80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8" w:type="dxa"/>
            <w:noWrap w:val="0"/>
            <w:vAlign w:val="top"/>
          </w:tcPr>
          <w:p w14:paraId="35AE6A72">
            <w:pPr>
              <w:spacing w:line="360" w:lineRule="auto"/>
              <w:jc w:val="center"/>
              <w:rPr>
                <w:rFonts w:hint="eastAsia" w:ascii="仿宋" w:hAnsi="仿宋" w:eastAsia="仿宋" w:cs="仿宋"/>
                <w:b w:val="0"/>
                <w:bCs w:val="0"/>
              </w:rPr>
            </w:pPr>
            <w:r>
              <w:rPr>
                <w:rFonts w:hint="eastAsia" w:ascii="仿宋" w:hAnsi="仿宋" w:eastAsia="仿宋" w:cs="仿宋"/>
                <w:b w:val="0"/>
                <w:bCs w:val="0"/>
              </w:rPr>
              <w:t>2</w:t>
            </w:r>
          </w:p>
        </w:tc>
        <w:tc>
          <w:tcPr>
            <w:tcW w:w="1118" w:type="dxa"/>
            <w:noWrap w:val="0"/>
            <w:vAlign w:val="top"/>
          </w:tcPr>
          <w:p w14:paraId="3240B20E">
            <w:pPr>
              <w:spacing w:line="360" w:lineRule="auto"/>
              <w:jc w:val="center"/>
              <w:rPr>
                <w:rFonts w:hint="eastAsia" w:ascii="仿宋" w:hAnsi="仿宋" w:eastAsia="仿宋" w:cs="仿宋"/>
                <w:b w:val="0"/>
                <w:bCs w:val="0"/>
              </w:rPr>
            </w:pPr>
          </w:p>
        </w:tc>
        <w:tc>
          <w:tcPr>
            <w:tcW w:w="1118" w:type="dxa"/>
            <w:noWrap w:val="0"/>
            <w:vAlign w:val="top"/>
          </w:tcPr>
          <w:p w14:paraId="3A5B5C18">
            <w:pPr>
              <w:spacing w:line="360" w:lineRule="auto"/>
              <w:jc w:val="center"/>
              <w:rPr>
                <w:rFonts w:hint="eastAsia" w:ascii="仿宋" w:hAnsi="仿宋" w:eastAsia="仿宋" w:cs="仿宋"/>
                <w:b w:val="0"/>
                <w:bCs w:val="0"/>
              </w:rPr>
            </w:pPr>
          </w:p>
        </w:tc>
        <w:tc>
          <w:tcPr>
            <w:tcW w:w="1118" w:type="dxa"/>
            <w:noWrap w:val="0"/>
            <w:vAlign w:val="top"/>
          </w:tcPr>
          <w:p w14:paraId="185DC625">
            <w:pPr>
              <w:spacing w:line="360" w:lineRule="auto"/>
              <w:jc w:val="center"/>
              <w:rPr>
                <w:rFonts w:hint="eastAsia" w:ascii="仿宋" w:hAnsi="仿宋" w:eastAsia="仿宋" w:cs="仿宋"/>
                <w:b w:val="0"/>
                <w:bCs w:val="0"/>
              </w:rPr>
            </w:pPr>
          </w:p>
        </w:tc>
        <w:tc>
          <w:tcPr>
            <w:tcW w:w="1119" w:type="dxa"/>
            <w:noWrap w:val="0"/>
            <w:vAlign w:val="top"/>
          </w:tcPr>
          <w:p w14:paraId="20BA10B1">
            <w:pPr>
              <w:spacing w:line="360" w:lineRule="auto"/>
              <w:jc w:val="center"/>
              <w:rPr>
                <w:rFonts w:hint="eastAsia" w:ascii="仿宋" w:hAnsi="仿宋" w:eastAsia="仿宋" w:cs="仿宋"/>
                <w:b w:val="0"/>
                <w:bCs w:val="0"/>
              </w:rPr>
            </w:pPr>
          </w:p>
        </w:tc>
        <w:tc>
          <w:tcPr>
            <w:tcW w:w="1119" w:type="dxa"/>
            <w:noWrap w:val="0"/>
            <w:vAlign w:val="top"/>
          </w:tcPr>
          <w:p w14:paraId="3FF9C1E2">
            <w:pPr>
              <w:spacing w:line="360" w:lineRule="auto"/>
              <w:jc w:val="center"/>
              <w:rPr>
                <w:rFonts w:hint="eastAsia" w:ascii="仿宋" w:hAnsi="仿宋" w:eastAsia="仿宋" w:cs="仿宋"/>
                <w:b w:val="0"/>
                <w:bCs w:val="0"/>
              </w:rPr>
            </w:pPr>
          </w:p>
        </w:tc>
        <w:tc>
          <w:tcPr>
            <w:tcW w:w="1119" w:type="dxa"/>
            <w:noWrap w:val="0"/>
            <w:vAlign w:val="top"/>
          </w:tcPr>
          <w:p w14:paraId="66D0C3AE">
            <w:pPr>
              <w:spacing w:line="360" w:lineRule="auto"/>
              <w:jc w:val="center"/>
              <w:rPr>
                <w:rFonts w:hint="eastAsia" w:ascii="仿宋" w:hAnsi="仿宋" w:eastAsia="仿宋" w:cs="仿宋"/>
                <w:b w:val="0"/>
                <w:bCs w:val="0"/>
              </w:rPr>
            </w:pPr>
          </w:p>
        </w:tc>
        <w:tc>
          <w:tcPr>
            <w:tcW w:w="1119" w:type="dxa"/>
            <w:noWrap w:val="0"/>
            <w:vAlign w:val="top"/>
          </w:tcPr>
          <w:p w14:paraId="5D632D50">
            <w:pPr>
              <w:spacing w:line="360" w:lineRule="auto"/>
              <w:jc w:val="center"/>
              <w:rPr>
                <w:rFonts w:hint="eastAsia" w:ascii="仿宋" w:hAnsi="仿宋" w:eastAsia="仿宋" w:cs="仿宋"/>
                <w:b w:val="0"/>
                <w:bCs w:val="0"/>
              </w:rPr>
            </w:pPr>
          </w:p>
        </w:tc>
      </w:tr>
      <w:tr w14:paraId="53F9F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8" w:type="dxa"/>
            <w:noWrap w:val="0"/>
            <w:vAlign w:val="top"/>
          </w:tcPr>
          <w:p w14:paraId="79FEFC31">
            <w:pPr>
              <w:spacing w:line="360" w:lineRule="auto"/>
              <w:jc w:val="center"/>
              <w:rPr>
                <w:rFonts w:hint="eastAsia" w:ascii="仿宋" w:hAnsi="仿宋" w:eastAsia="仿宋" w:cs="仿宋"/>
                <w:b w:val="0"/>
                <w:bCs w:val="0"/>
              </w:rPr>
            </w:pPr>
            <w:r>
              <w:rPr>
                <w:rFonts w:hint="eastAsia" w:ascii="仿宋" w:hAnsi="仿宋" w:eastAsia="仿宋" w:cs="仿宋"/>
                <w:b w:val="0"/>
                <w:bCs w:val="0"/>
              </w:rPr>
              <w:t>...</w:t>
            </w:r>
          </w:p>
        </w:tc>
        <w:tc>
          <w:tcPr>
            <w:tcW w:w="1118" w:type="dxa"/>
            <w:noWrap w:val="0"/>
            <w:vAlign w:val="top"/>
          </w:tcPr>
          <w:p w14:paraId="1657E631">
            <w:pPr>
              <w:spacing w:line="360" w:lineRule="auto"/>
              <w:jc w:val="center"/>
              <w:rPr>
                <w:rFonts w:hint="eastAsia" w:ascii="仿宋" w:hAnsi="仿宋" w:eastAsia="仿宋" w:cs="仿宋"/>
                <w:b w:val="0"/>
                <w:bCs w:val="0"/>
              </w:rPr>
            </w:pPr>
          </w:p>
        </w:tc>
        <w:tc>
          <w:tcPr>
            <w:tcW w:w="1118" w:type="dxa"/>
            <w:noWrap w:val="0"/>
            <w:vAlign w:val="top"/>
          </w:tcPr>
          <w:p w14:paraId="6E1BAA32">
            <w:pPr>
              <w:spacing w:line="360" w:lineRule="auto"/>
              <w:jc w:val="center"/>
              <w:rPr>
                <w:rFonts w:hint="eastAsia" w:ascii="仿宋" w:hAnsi="仿宋" w:eastAsia="仿宋" w:cs="仿宋"/>
                <w:b w:val="0"/>
                <w:bCs w:val="0"/>
              </w:rPr>
            </w:pPr>
          </w:p>
        </w:tc>
        <w:tc>
          <w:tcPr>
            <w:tcW w:w="1118" w:type="dxa"/>
            <w:noWrap w:val="0"/>
            <w:vAlign w:val="top"/>
          </w:tcPr>
          <w:p w14:paraId="6A611CD7">
            <w:pPr>
              <w:spacing w:line="360" w:lineRule="auto"/>
              <w:jc w:val="center"/>
              <w:rPr>
                <w:rFonts w:hint="eastAsia" w:ascii="仿宋" w:hAnsi="仿宋" w:eastAsia="仿宋" w:cs="仿宋"/>
                <w:b w:val="0"/>
                <w:bCs w:val="0"/>
              </w:rPr>
            </w:pPr>
          </w:p>
        </w:tc>
        <w:tc>
          <w:tcPr>
            <w:tcW w:w="1119" w:type="dxa"/>
            <w:noWrap w:val="0"/>
            <w:vAlign w:val="top"/>
          </w:tcPr>
          <w:p w14:paraId="3FAA1C36">
            <w:pPr>
              <w:spacing w:line="360" w:lineRule="auto"/>
              <w:jc w:val="center"/>
              <w:rPr>
                <w:rFonts w:hint="eastAsia" w:ascii="仿宋" w:hAnsi="仿宋" w:eastAsia="仿宋" w:cs="仿宋"/>
                <w:b w:val="0"/>
                <w:bCs w:val="0"/>
              </w:rPr>
            </w:pPr>
          </w:p>
        </w:tc>
        <w:tc>
          <w:tcPr>
            <w:tcW w:w="1119" w:type="dxa"/>
            <w:noWrap w:val="0"/>
            <w:vAlign w:val="top"/>
          </w:tcPr>
          <w:p w14:paraId="2666B81A">
            <w:pPr>
              <w:spacing w:line="360" w:lineRule="auto"/>
              <w:jc w:val="center"/>
              <w:rPr>
                <w:rFonts w:hint="eastAsia" w:ascii="仿宋" w:hAnsi="仿宋" w:eastAsia="仿宋" w:cs="仿宋"/>
                <w:b w:val="0"/>
                <w:bCs w:val="0"/>
              </w:rPr>
            </w:pPr>
          </w:p>
        </w:tc>
        <w:tc>
          <w:tcPr>
            <w:tcW w:w="1119" w:type="dxa"/>
            <w:noWrap w:val="0"/>
            <w:vAlign w:val="top"/>
          </w:tcPr>
          <w:p w14:paraId="5C0A5A50">
            <w:pPr>
              <w:spacing w:line="360" w:lineRule="auto"/>
              <w:jc w:val="center"/>
              <w:rPr>
                <w:rFonts w:hint="eastAsia" w:ascii="仿宋" w:hAnsi="仿宋" w:eastAsia="仿宋" w:cs="仿宋"/>
                <w:b w:val="0"/>
                <w:bCs w:val="0"/>
              </w:rPr>
            </w:pPr>
          </w:p>
        </w:tc>
        <w:tc>
          <w:tcPr>
            <w:tcW w:w="1119" w:type="dxa"/>
            <w:noWrap w:val="0"/>
            <w:vAlign w:val="top"/>
          </w:tcPr>
          <w:p w14:paraId="64BD713D">
            <w:pPr>
              <w:spacing w:line="360" w:lineRule="auto"/>
              <w:jc w:val="center"/>
              <w:rPr>
                <w:rFonts w:hint="eastAsia" w:ascii="仿宋" w:hAnsi="仿宋" w:eastAsia="仿宋" w:cs="仿宋"/>
                <w:b w:val="0"/>
                <w:bCs w:val="0"/>
              </w:rPr>
            </w:pPr>
          </w:p>
        </w:tc>
      </w:tr>
      <w:tr w14:paraId="63BD3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8" w:type="dxa"/>
            <w:noWrap w:val="0"/>
            <w:vAlign w:val="top"/>
          </w:tcPr>
          <w:p w14:paraId="53BFD438">
            <w:pPr>
              <w:spacing w:line="360" w:lineRule="auto"/>
              <w:jc w:val="center"/>
              <w:rPr>
                <w:rFonts w:hint="eastAsia" w:ascii="仿宋" w:hAnsi="仿宋" w:eastAsia="仿宋" w:cs="仿宋"/>
                <w:b w:val="0"/>
                <w:bCs w:val="0"/>
              </w:rPr>
            </w:pPr>
            <w:r>
              <w:rPr>
                <w:rFonts w:hint="eastAsia" w:ascii="仿宋" w:hAnsi="仿宋" w:eastAsia="仿宋" w:cs="仿宋"/>
                <w:b w:val="0"/>
                <w:bCs w:val="0"/>
              </w:rPr>
              <w:t>合计</w:t>
            </w:r>
          </w:p>
        </w:tc>
        <w:tc>
          <w:tcPr>
            <w:tcW w:w="1118" w:type="dxa"/>
            <w:noWrap w:val="0"/>
            <w:vAlign w:val="top"/>
          </w:tcPr>
          <w:p w14:paraId="562D4B81">
            <w:pPr>
              <w:spacing w:line="360" w:lineRule="auto"/>
              <w:jc w:val="center"/>
              <w:rPr>
                <w:rFonts w:hint="eastAsia" w:ascii="仿宋" w:hAnsi="仿宋" w:eastAsia="仿宋" w:cs="仿宋"/>
                <w:b w:val="0"/>
                <w:bCs w:val="0"/>
              </w:rPr>
            </w:pPr>
          </w:p>
        </w:tc>
        <w:tc>
          <w:tcPr>
            <w:tcW w:w="1118" w:type="dxa"/>
            <w:noWrap w:val="0"/>
            <w:vAlign w:val="top"/>
          </w:tcPr>
          <w:p w14:paraId="6CC74E30">
            <w:pPr>
              <w:spacing w:line="360" w:lineRule="auto"/>
              <w:jc w:val="center"/>
              <w:rPr>
                <w:rFonts w:hint="eastAsia" w:ascii="仿宋" w:hAnsi="仿宋" w:eastAsia="仿宋" w:cs="仿宋"/>
                <w:b w:val="0"/>
                <w:bCs w:val="0"/>
              </w:rPr>
            </w:pPr>
          </w:p>
        </w:tc>
        <w:tc>
          <w:tcPr>
            <w:tcW w:w="1118" w:type="dxa"/>
            <w:noWrap w:val="0"/>
            <w:vAlign w:val="top"/>
          </w:tcPr>
          <w:p w14:paraId="647056DE">
            <w:pPr>
              <w:spacing w:line="360" w:lineRule="auto"/>
              <w:jc w:val="center"/>
              <w:rPr>
                <w:rFonts w:hint="eastAsia" w:ascii="仿宋" w:hAnsi="仿宋" w:eastAsia="仿宋" w:cs="仿宋"/>
                <w:b w:val="0"/>
                <w:bCs w:val="0"/>
              </w:rPr>
            </w:pPr>
          </w:p>
        </w:tc>
        <w:tc>
          <w:tcPr>
            <w:tcW w:w="1119" w:type="dxa"/>
            <w:noWrap w:val="0"/>
            <w:vAlign w:val="top"/>
          </w:tcPr>
          <w:p w14:paraId="030CFACD">
            <w:pPr>
              <w:spacing w:line="360" w:lineRule="auto"/>
              <w:jc w:val="center"/>
              <w:rPr>
                <w:rFonts w:hint="eastAsia" w:ascii="仿宋" w:hAnsi="仿宋" w:eastAsia="仿宋" w:cs="仿宋"/>
                <w:b w:val="0"/>
                <w:bCs w:val="0"/>
              </w:rPr>
            </w:pPr>
          </w:p>
        </w:tc>
        <w:tc>
          <w:tcPr>
            <w:tcW w:w="1119" w:type="dxa"/>
            <w:noWrap w:val="0"/>
            <w:vAlign w:val="top"/>
          </w:tcPr>
          <w:p w14:paraId="79D18E3D">
            <w:pPr>
              <w:spacing w:line="360" w:lineRule="auto"/>
              <w:jc w:val="center"/>
              <w:rPr>
                <w:rFonts w:hint="eastAsia" w:ascii="仿宋" w:hAnsi="仿宋" w:eastAsia="仿宋" w:cs="仿宋"/>
                <w:b w:val="0"/>
                <w:bCs w:val="0"/>
              </w:rPr>
            </w:pPr>
          </w:p>
        </w:tc>
        <w:tc>
          <w:tcPr>
            <w:tcW w:w="1119" w:type="dxa"/>
            <w:noWrap w:val="0"/>
            <w:vAlign w:val="top"/>
          </w:tcPr>
          <w:p w14:paraId="739A3F77">
            <w:pPr>
              <w:spacing w:line="360" w:lineRule="auto"/>
              <w:jc w:val="center"/>
              <w:rPr>
                <w:rFonts w:hint="eastAsia" w:ascii="仿宋" w:hAnsi="仿宋" w:eastAsia="仿宋" w:cs="仿宋"/>
                <w:b w:val="0"/>
                <w:bCs w:val="0"/>
              </w:rPr>
            </w:pPr>
          </w:p>
        </w:tc>
        <w:tc>
          <w:tcPr>
            <w:tcW w:w="1119" w:type="dxa"/>
            <w:noWrap w:val="0"/>
            <w:vAlign w:val="top"/>
          </w:tcPr>
          <w:p w14:paraId="2616F656">
            <w:pPr>
              <w:spacing w:line="360" w:lineRule="auto"/>
              <w:jc w:val="center"/>
              <w:rPr>
                <w:rFonts w:hint="eastAsia" w:ascii="仿宋" w:hAnsi="仿宋" w:eastAsia="仿宋" w:cs="仿宋"/>
                <w:b w:val="0"/>
                <w:bCs w:val="0"/>
              </w:rPr>
            </w:pPr>
          </w:p>
        </w:tc>
      </w:tr>
    </w:tbl>
    <w:p w14:paraId="4DDBBB37">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二、合同价款 </w:t>
      </w:r>
    </w:p>
    <w:p w14:paraId="2040BCA4">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1、合同价款： </w:t>
      </w:r>
    </w:p>
    <w:p w14:paraId="5E2422AA">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2、合同价包括：合同总价为产品送达到指定地点包括的所有费用。包括产品供应费、储存费、配送费（含仓储费、保险费、装卸费）及其它相关的费用。 </w:t>
      </w:r>
    </w:p>
    <w:p w14:paraId="4A2692EE">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3、合同单价一次包死，不受市场价变化的影响，合同总价以实际供应天数确定。 </w:t>
      </w:r>
    </w:p>
    <w:p w14:paraId="3BD0E2E5">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4、合同结算</w:t>
      </w:r>
    </w:p>
    <w:p w14:paraId="5927364C">
      <w:pPr>
        <w:spacing w:line="360" w:lineRule="auto"/>
        <w:ind w:firstLine="420" w:firstLineChars="200"/>
        <w:rPr>
          <w:rFonts w:hint="eastAsia" w:ascii="仿宋" w:hAnsi="仿宋" w:eastAsia="仿宋" w:cs="仿宋"/>
          <w:b w:val="0"/>
          <w:bCs w:val="0"/>
          <w:szCs w:val="21"/>
        </w:rPr>
      </w:pPr>
      <w:r>
        <w:rPr>
          <w:rFonts w:hint="eastAsia" w:ascii="仿宋" w:hAnsi="仿宋" w:eastAsia="仿宋" w:cs="仿宋"/>
          <w:b w:val="0"/>
          <w:bCs w:val="0"/>
        </w:rPr>
        <w:t>4.1、结算方式：根据实际配送量据实结算，每两月向供应商付款。付款前，（乙方）卖方应及时向（甲方）买方提交送货清单、每月汇总表及正规发票，自收到付款材料之日起经教育局签字确认后，由各片区学校20 个日历日内以银行转账方式支付到（乙方）卖方指定的账户。</w:t>
      </w:r>
    </w:p>
    <w:p w14:paraId="39F8247B">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4.2 货款支付单位为： </w:t>
      </w:r>
    </w:p>
    <w:p w14:paraId="7189BDC5">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发票开具的“购货单位（人）名称”为： </w:t>
      </w:r>
    </w:p>
    <w:p w14:paraId="68A74E88">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三、交货条件: </w:t>
      </w:r>
    </w:p>
    <w:p w14:paraId="0F5371A1">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1、交货地点：西安市临潼区教育局指定学校 </w:t>
      </w:r>
    </w:p>
    <w:p w14:paraId="38393E53">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2、服务期限：202</w:t>
      </w:r>
      <w:r>
        <w:rPr>
          <w:rFonts w:hint="eastAsia" w:ascii="仿宋" w:hAnsi="仿宋" w:eastAsia="仿宋" w:cs="仿宋"/>
          <w:b w:val="0"/>
          <w:bCs w:val="0"/>
          <w:lang w:val="en-US" w:eastAsia="zh-CN"/>
        </w:rPr>
        <w:t>5</w:t>
      </w:r>
      <w:r>
        <w:rPr>
          <w:rFonts w:hint="eastAsia" w:ascii="仿宋" w:hAnsi="仿宋" w:eastAsia="仿宋" w:cs="仿宋"/>
          <w:b w:val="0"/>
          <w:bCs w:val="0"/>
        </w:rPr>
        <w:t>-202</w:t>
      </w:r>
      <w:r>
        <w:rPr>
          <w:rFonts w:hint="eastAsia" w:ascii="仿宋" w:hAnsi="仿宋" w:eastAsia="仿宋" w:cs="仿宋"/>
          <w:b w:val="0"/>
          <w:bCs w:val="0"/>
          <w:lang w:val="en-US" w:eastAsia="zh-CN"/>
        </w:rPr>
        <w:t>6</w:t>
      </w:r>
      <w:r>
        <w:rPr>
          <w:rFonts w:hint="eastAsia" w:ascii="仿宋" w:hAnsi="仿宋" w:eastAsia="仿宋" w:cs="仿宋"/>
          <w:b w:val="0"/>
          <w:bCs w:val="0"/>
        </w:rPr>
        <w:t>学年度</w:t>
      </w:r>
    </w:p>
    <w:p w14:paraId="09373266">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3、合同履行期限：采购人要求时间之前送至指定地点。</w:t>
      </w:r>
    </w:p>
    <w:p w14:paraId="3FACCD6A">
      <w:pPr>
        <w:spacing w:line="360" w:lineRule="auto"/>
        <w:ind w:firstLine="420" w:firstLineChars="200"/>
        <w:rPr>
          <w:rFonts w:hint="eastAsia" w:ascii="仿宋" w:hAnsi="仿宋" w:eastAsia="仿宋" w:cs="仿宋"/>
          <w:b w:val="0"/>
          <w:bCs w:val="0"/>
          <w:lang w:val="en-US" w:eastAsia="zh-CN"/>
        </w:rPr>
      </w:pPr>
      <w:r>
        <w:rPr>
          <w:rFonts w:hint="eastAsia" w:ascii="仿宋" w:hAnsi="仿宋" w:eastAsia="仿宋" w:cs="仿宋"/>
          <w:b w:val="0"/>
          <w:bCs w:val="0"/>
          <w:lang w:val="en-US" w:eastAsia="zh-CN"/>
        </w:rPr>
        <w:t>4、供货要求：中标单位负责每次订单所有货物的运输、保险。</w:t>
      </w:r>
    </w:p>
    <w:p w14:paraId="35CE8E88">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四、质量保证 ：（1）外包装完好无损、无杂质、无污染、商标图案清晰、有生产日期、无霉变情况，保质期大米不少于 6 个月，小麦粉不少于 3 个月，食用油不少于18 个月；配送到校点后的小麦粉出厂日期不超过 1 个月，大米不超过 2 个月，食用油不超过 3 个月。因运输装卸过程中造成的损耗（例如包装严重变形、破损、食品污染、变异等）、发现的破损、变异食品必须无条件一对一更换。 </w:t>
      </w:r>
    </w:p>
    <w:p w14:paraId="4F67AF82">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（2）保质期出现的质量问题由中标人负责解决并承担所有费用。 </w:t>
      </w:r>
    </w:p>
    <w:p w14:paraId="4E30534E">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（3）若意外食用后并造成实际伤害及损失，将由中标人承担全部责任。</w:t>
      </w:r>
    </w:p>
    <w:p w14:paraId="2497ED4A">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五、验收： </w:t>
      </w:r>
    </w:p>
    <w:p w14:paraId="38F619EB">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1、产品送到指定地点后由接货学校和供货单位共同验收，核对数量，检查产品的外观和质量等并留存样品，经检验无误共同签署产品配送单（三联单）、接货学校、供货方、采购人各执一份，验收不合格的不予接收。 </w:t>
      </w:r>
    </w:p>
    <w:p w14:paraId="534E6F6E">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2、中标单位对最终的产品质量负完全责任。 </w:t>
      </w:r>
    </w:p>
    <w:p w14:paraId="3E21F659">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3、验收依据： </w:t>
      </w:r>
    </w:p>
    <w:p w14:paraId="1B960FA7">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1）验收内容：</w:t>
      </w:r>
    </w:p>
    <w:p w14:paraId="25BA68FD">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1.1 每次配送量应包含留样 1 份，（送到每个学校留样 1 份）由使用单位和中标人共同对所有食品的品种、规格、数量及保质期进行验收。 </w:t>
      </w:r>
    </w:p>
    <w:p w14:paraId="7474745C">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1.2 中标人每次供货须向使用单位提供“供货清单”（供货清单一式三份，采购人一份，中标人一份，使用单位一份）；经验收合格后，由使用单位在“供货清单”上签字。 </w:t>
      </w:r>
    </w:p>
    <w:p w14:paraId="4EF6319B">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1.3 若验收不合格，中标单位必须及时换货，保证使用单位的的正常使用，否则将终止其供货合同，并赔偿采购人的损失。</w:t>
      </w:r>
    </w:p>
    <w:p w14:paraId="6F6CD0CA">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2）验收依据：</w:t>
      </w:r>
    </w:p>
    <w:p w14:paraId="410F5732">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lang w:val="en-US" w:eastAsia="zh-CN"/>
        </w:rPr>
        <w:t>2.1</w:t>
      </w:r>
      <w:r>
        <w:rPr>
          <w:rFonts w:hint="eastAsia" w:ascii="仿宋" w:hAnsi="仿宋" w:eastAsia="仿宋" w:cs="仿宋"/>
          <w:b w:val="0"/>
          <w:bCs w:val="0"/>
        </w:rPr>
        <w:t xml:space="preserve">合同文本及合同补充文件（条款）。 </w:t>
      </w:r>
    </w:p>
    <w:p w14:paraId="4A465396">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lang w:val="en-US" w:eastAsia="zh-CN"/>
        </w:rPr>
        <w:t>2.2</w:t>
      </w:r>
      <w:r>
        <w:rPr>
          <w:rFonts w:hint="eastAsia" w:ascii="仿宋" w:hAnsi="仿宋" w:eastAsia="仿宋" w:cs="仿宋"/>
          <w:b w:val="0"/>
          <w:bCs w:val="0"/>
        </w:rPr>
        <w:t xml:space="preserve">国家有关的验收标准及规范。 </w:t>
      </w:r>
    </w:p>
    <w:p w14:paraId="1A922F52">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lang w:val="en-US" w:eastAsia="zh-CN"/>
        </w:rPr>
        <w:t>2.3</w:t>
      </w:r>
      <w:r>
        <w:rPr>
          <w:rFonts w:hint="eastAsia" w:ascii="仿宋" w:hAnsi="仿宋" w:eastAsia="仿宋" w:cs="仿宋"/>
          <w:b w:val="0"/>
          <w:bCs w:val="0"/>
        </w:rPr>
        <w:t xml:space="preserve">招标文件。 </w:t>
      </w:r>
    </w:p>
    <w:p w14:paraId="14E6B48F">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lang w:val="en-US" w:eastAsia="zh-CN"/>
        </w:rPr>
        <w:t>2.4</w:t>
      </w:r>
      <w:r>
        <w:rPr>
          <w:rFonts w:hint="eastAsia" w:ascii="仿宋" w:hAnsi="仿宋" w:eastAsia="仿宋" w:cs="仿宋"/>
          <w:b w:val="0"/>
          <w:bCs w:val="0"/>
        </w:rPr>
        <w:t>中标人的投标文件及食品检验报告单。</w:t>
      </w:r>
    </w:p>
    <w:p w14:paraId="28213ADF">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六、双方权利和义务 </w:t>
      </w:r>
    </w:p>
    <w:p w14:paraId="0DFC6660">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（一）买方的权利和义务 </w:t>
      </w:r>
    </w:p>
    <w:p w14:paraId="29F64A48">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1、买方有权利要求卖方出示所采购产品（大米、小麦粉、食用油）的质检报告或买方有权利对卖方所供货物进行另行抽检。 </w:t>
      </w:r>
    </w:p>
    <w:p w14:paraId="27A40BB6">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2、买方有权利拒绝接受非买方采购产品。</w:t>
      </w:r>
    </w:p>
    <w:p w14:paraId="0A40D041">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3、买方有权利对卖方所供产品包装破损的产品提出异议或拒绝接受。 </w:t>
      </w:r>
    </w:p>
    <w:p w14:paraId="3782D5BC">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4、买方有权利对卖方的服务进行监督和评判。 </w:t>
      </w:r>
    </w:p>
    <w:p w14:paraId="5369D9F9">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5、买方有义务对卖方所供货物进行规范储存。 </w:t>
      </w:r>
    </w:p>
    <w:p w14:paraId="03570400">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6、买方有义务配合卖方对卖方所供产品的流向进行监控，不得出现流入非本渠道现象，更不能出现售卖等现象。 </w:t>
      </w:r>
    </w:p>
    <w:p w14:paraId="6B8BBC0F">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7、在供货业务运行过程中出现时间、地点、人员变化等现象，买方有义务事先通告卖方并配合卖方完成后续交接等事宜。 </w:t>
      </w:r>
    </w:p>
    <w:p w14:paraId="490C2821">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8、买方有义务配合卖方缩减交接货物环节的流程及时间。 </w:t>
      </w:r>
    </w:p>
    <w:p w14:paraId="716767B3">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9、买方有义务配合卖方处理完善双方合作中的突发事件。 </w:t>
      </w:r>
    </w:p>
    <w:p w14:paraId="62BF283F">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10、买方有义务配合卖方做一些关于食用产品知识的宣传工作。 </w:t>
      </w:r>
    </w:p>
    <w:p w14:paraId="4280D1A6">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11、买方有权利对卖方提供的货物进行不定期抽查。 </w:t>
      </w:r>
    </w:p>
    <w:p w14:paraId="52E69D1A">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（二）卖方的权利和义务 </w:t>
      </w:r>
    </w:p>
    <w:p w14:paraId="5382DCC0">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1、卖方有义务向买方提供按标签标注质量标注合格的产品，并向买方提供销售所需的“三证”及相关资料。 </w:t>
      </w:r>
    </w:p>
    <w:p w14:paraId="504467AB">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2、卖方保证价格不变。 </w:t>
      </w:r>
    </w:p>
    <w:p w14:paraId="2A36C847">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3、卖方保证向买方所供货完整无损。 </w:t>
      </w:r>
    </w:p>
    <w:p w14:paraId="15C628BA">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4、在同等条件下，买方应优先选用卖方的产品。 </w:t>
      </w:r>
    </w:p>
    <w:p w14:paraId="063B66B3">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5、卖方在按相关规定送货到位后，买方应及时接收并出具规定的接货证明，本企业有权监督避免拖延时间或无人接货等现象的出现。 </w:t>
      </w:r>
    </w:p>
    <w:p w14:paraId="5D6585DB">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6、卖方有义务对所供学校的师生进行产品知识及食用产品知识的培训。 </w:t>
      </w:r>
    </w:p>
    <w:p w14:paraId="47B5216C">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7、卖方有义务对所供学校提供每单品一包的留样产品（送到每个学校留样 1 份）。 </w:t>
      </w:r>
    </w:p>
    <w:p w14:paraId="7627B912">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七、合同实施：</w:t>
      </w:r>
    </w:p>
    <w:p w14:paraId="680136B4">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（1）中标人应在合同签订后 7 个日历日内安排人员与采购方就送货等工作进行安排。 </w:t>
      </w:r>
    </w:p>
    <w:p w14:paraId="1AF186E5">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（2）若未能在交货期内完成合同规定的义务，由此对采购人造成的延误和一切损失，由中标人承担和赔偿。 </w:t>
      </w:r>
    </w:p>
    <w:p w14:paraId="02604622">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lang w:val="en-US" w:eastAsia="zh-CN"/>
        </w:rPr>
        <w:t>八</w:t>
      </w:r>
      <w:r>
        <w:rPr>
          <w:rFonts w:hint="eastAsia" w:ascii="仿宋" w:hAnsi="仿宋" w:eastAsia="仿宋" w:cs="仿宋"/>
          <w:b w:val="0"/>
          <w:bCs w:val="0"/>
        </w:rPr>
        <w:t xml:space="preserve">、违约责任 </w:t>
      </w:r>
    </w:p>
    <w:p w14:paraId="5429D721">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1）按《中华人民共和国民法典》中的相关条款执行。</w:t>
      </w:r>
    </w:p>
    <w:p w14:paraId="552C8A35">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2）未按合同要求提供货物质量不能满足技术要求，采购人有权终止合同， 并对供方违约行为进行追究，同时按《中华人民共和国政府采购法》、《中华人民共和国民法典》等有关规定进行处罚。</w:t>
      </w:r>
    </w:p>
    <w:p w14:paraId="0862B54C">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lang w:val="en-US" w:eastAsia="zh-CN"/>
        </w:rPr>
        <w:t>九</w:t>
      </w:r>
      <w:r>
        <w:rPr>
          <w:rFonts w:hint="eastAsia" w:ascii="仿宋" w:hAnsi="仿宋" w:eastAsia="仿宋" w:cs="仿宋"/>
          <w:b w:val="0"/>
          <w:bCs w:val="0"/>
        </w:rPr>
        <w:t>、合同争议解决的方式</w:t>
      </w:r>
    </w:p>
    <w:p w14:paraId="74F95AE4">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本合同在履行过程中发生的争议，由买卖双方当事人协商解决，协商不成的提交当地仲裁委员会仲裁。 </w:t>
      </w:r>
    </w:p>
    <w:p w14:paraId="761438D1">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lang w:val="en-US" w:eastAsia="zh-CN"/>
        </w:rPr>
        <w:t>十</w:t>
      </w:r>
      <w:r>
        <w:rPr>
          <w:rFonts w:hint="eastAsia" w:ascii="仿宋" w:hAnsi="仿宋" w:eastAsia="仿宋" w:cs="仿宋"/>
          <w:b w:val="0"/>
          <w:bCs w:val="0"/>
        </w:rPr>
        <w:t xml:space="preserve">、合同组成 </w:t>
      </w:r>
    </w:p>
    <w:p w14:paraId="07D2710C">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1、中标通知书 </w:t>
      </w:r>
    </w:p>
    <w:p w14:paraId="02CCF7FD">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2、合同文件 </w:t>
      </w:r>
    </w:p>
    <w:p w14:paraId="6D01C3CC">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3、国家相关规范及标准 </w:t>
      </w:r>
    </w:p>
    <w:p w14:paraId="4A22143D">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4、招标文件 </w:t>
      </w:r>
    </w:p>
    <w:p w14:paraId="1984B24E">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5、投标文件 </w:t>
      </w:r>
    </w:p>
    <w:p w14:paraId="0EB65E4F">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十</w:t>
      </w:r>
      <w:r>
        <w:rPr>
          <w:rFonts w:hint="eastAsia" w:ascii="仿宋" w:hAnsi="仿宋" w:eastAsia="仿宋" w:cs="仿宋"/>
          <w:b w:val="0"/>
          <w:bCs w:val="0"/>
          <w:lang w:val="en-US" w:eastAsia="zh-CN"/>
        </w:rPr>
        <w:t>一</w:t>
      </w:r>
      <w:r>
        <w:rPr>
          <w:rFonts w:hint="eastAsia" w:ascii="仿宋" w:hAnsi="仿宋" w:eastAsia="仿宋" w:cs="仿宋"/>
          <w:b w:val="0"/>
          <w:bCs w:val="0"/>
        </w:rPr>
        <w:t xml:space="preserve">、合同生效及其它 </w:t>
      </w:r>
    </w:p>
    <w:p w14:paraId="3C07ECE4">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1、合同未尽事宜、由买、卖双方协商，作为合同补充，与原合同具有同等法律效力。 </w:t>
      </w:r>
    </w:p>
    <w:p w14:paraId="62F32B89">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2、本合同正本一式    份，买卖双方分别执   份，监督部门备案   份。 </w:t>
      </w:r>
    </w:p>
    <w:p w14:paraId="4CB16C83">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3、合同经买卖双方共同签字盖章之日起生效，合同签订地点为      。 </w:t>
      </w:r>
    </w:p>
    <w:p w14:paraId="67086EE9">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4、生效时间：  年   月   日。 </w:t>
      </w:r>
    </w:p>
    <w:p w14:paraId="3B838817">
      <w:pPr>
        <w:spacing w:line="360" w:lineRule="auto"/>
        <w:ind w:firstLine="420" w:firstLineChars="200"/>
        <w:rPr>
          <w:rFonts w:hint="eastAsia" w:ascii="仿宋" w:hAnsi="仿宋" w:eastAsia="仿宋" w:cs="仿宋"/>
          <w:b w:val="0"/>
          <w:bCs w:val="0"/>
        </w:rPr>
      </w:pPr>
    </w:p>
    <w:tbl>
      <w:tblPr>
        <w:tblStyle w:val="5"/>
        <w:tblW w:w="0" w:type="auto"/>
        <w:tblInd w:w="0" w:type="dxa"/>
        <w:tblLayout w:type="autofit"/>
        <w:tblCellMar>
          <w:top w:w="0" w:type="dxa"/>
          <w:left w:w="108" w:type="dxa"/>
          <w:bottom w:w="0" w:type="dxa"/>
          <w:right w:w="108" w:type="dxa"/>
        </w:tblCellMar>
      </w:tblPr>
      <w:tblGrid>
        <w:gridCol w:w="4261"/>
        <w:gridCol w:w="4261"/>
      </w:tblGrid>
      <w:tr w14:paraId="40B4124E">
        <w:tblPrEx>
          <w:tblCellMar>
            <w:top w:w="0" w:type="dxa"/>
            <w:left w:w="108" w:type="dxa"/>
            <w:bottom w:w="0" w:type="dxa"/>
            <w:right w:w="108" w:type="dxa"/>
          </w:tblCellMar>
        </w:tblPrEx>
        <w:trPr>
          <w:trHeight w:val="367" w:hRule="atLeast"/>
        </w:trPr>
        <w:tc>
          <w:tcPr>
            <w:tcW w:w="4261" w:type="dxa"/>
            <w:noWrap w:val="0"/>
            <w:vAlign w:val="top"/>
          </w:tcPr>
          <w:p w14:paraId="40B4CE36">
            <w:pPr>
              <w:spacing w:line="360" w:lineRule="auto"/>
              <w:rPr>
                <w:rFonts w:hint="eastAsia" w:ascii="仿宋" w:hAnsi="仿宋" w:eastAsia="仿宋" w:cs="仿宋"/>
                <w:b w:val="0"/>
                <w:bCs w:val="0"/>
              </w:rPr>
            </w:pPr>
            <w:r>
              <w:rPr>
                <w:rFonts w:hint="eastAsia" w:ascii="仿宋" w:hAnsi="仿宋" w:eastAsia="仿宋" w:cs="仿宋"/>
                <w:b w:val="0"/>
                <w:bCs w:val="0"/>
              </w:rPr>
              <w:t xml:space="preserve">买方名称：西安市临潼区教育局（公章） </w:t>
            </w:r>
          </w:p>
        </w:tc>
        <w:tc>
          <w:tcPr>
            <w:tcW w:w="4261" w:type="dxa"/>
            <w:noWrap w:val="0"/>
            <w:vAlign w:val="top"/>
          </w:tcPr>
          <w:p w14:paraId="51037245">
            <w:pPr>
              <w:spacing w:line="360" w:lineRule="auto"/>
              <w:rPr>
                <w:rFonts w:hint="eastAsia" w:ascii="仿宋" w:hAnsi="仿宋" w:eastAsia="仿宋" w:cs="仿宋"/>
                <w:b w:val="0"/>
                <w:bCs w:val="0"/>
              </w:rPr>
            </w:pPr>
            <w:r>
              <w:rPr>
                <w:rFonts w:hint="eastAsia" w:ascii="仿宋" w:hAnsi="仿宋" w:eastAsia="仿宋" w:cs="仿宋"/>
                <w:b w:val="0"/>
                <w:bCs w:val="0"/>
              </w:rPr>
              <w:t xml:space="preserve">卖方名称：（公章） </w:t>
            </w:r>
          </w:p>
        </w:tc>
      </w:tr>
      <w:tr w14:paraId="13747638">
        <w:tblPrEx>
          <w:tblCellMar>
            <w:top w:w="0" w:type="dxa"/>
            <w:left w:w="108" w:type="dxa"/>
            <w:bottom w:w="0" w:type="dxa"/>
            <w:right w:w="108" w:type="dxa"/>
          </w:tblCellMar>
        </w:tblPrEx>
        <w:trPr>
          <w:trHeight w:val="367" w:hRule="atLeast"/>
        </w:trPr>
        <w:tc>
          <w:tcPr>
            <w:tcW w:w="4261" w:type="dxa"/>
            <w:noWrap w:val="0"/>
            <w:vAlign w:val="top"/>
          </w:tcPr>
          <w:p w14:paraId="57EF3231">
            <w:pPr>
              <w:spacing w:line="360" w:lineRule="auto"/>
              <w:rPr>
                <w:rFonts w:hint="eastAsia" w:ascii="仿宋" w:hAnsi="仿宋" w:eastAsia="仿宋" w:cs="仿宋"/>
                <w:b w:val="0"/>
                <w:bCs w:val="0"/>
              </w:rPr>
            </w:pPr>
            <w:r>
              <w:rPr>
                <w:rFonts w:hint="eastAsia" w:ascii="仿宋" w:hAnsi="仿宋" w:eastAsia="仿宋" w:cs="仿宋"/>
                <w:b w:val="0"/>
                <w:bCs w:val="0"/>
              </w:rPr>
              <w:t xml:space="preserve">地 址：临潼区人民东路55号 </w:t>
            </w:r>
          </w:p>
        </w:tc>
        <w:tc>
          <w:tcPr>
            <w:tcW w:w="4261" w:type="dxa"/>
            <w:noWrap w:val="0"/>
            <w:vAlign w:val="top"/>
          </w:tcPr>
          <w:p w14:paraId="62AC11E7">
            <w:pPr>
              <w:spacing w:line="360" w:lineRule="auto"/>
              <w:rPr>
                <w:rFonts w:hint="eastAsia" w:ascii="仿宋" w:hAnsi="仿宋" w:eastAsia="仿宋" w:cs="仿宋"/>
                <w:b w:val="0"/>
                <w:bCs w:val="0"/>
              </w:rPr>
            </w:pPr>
            <w:r>
              <w:rPr>
                <w:rFonts w:hint="eastAsia" w:ascii="仿宋" w:hAnsi="仿宋" w:eastAsia="仿宋" w:cs="仿宋"/>
                <w:b w:val="0"/>
                <w:bCs w:val="0"/>
              </w:rPr>
              <w:t xml:space="preserve">地 址： </w:t>
            </w:r>
          </w:p>
        </w:tc>
      </w:tr>
      <w:tr w14:paraId="34FE7BE2">
        <w:tblPrEx>
          <w:tblCellMar>
            <w:top w:w="0" w:type="dxa"/>
            <w:left w:w="108" w:type="dxa"/>
            <w:bottom w:w="0" w:type="dxa"/>
            <w:right w:w="108" w:type="dxa"/>
          </w:tblCellMar>
        </w:tblPrEx>
        <w:trPr>
          <w:trHeight w:val="367" w:hRule="atLeast"/>
        </w:trPr>
        <w:tc>
          <w:tcPr>
            <w:tcW w:w="4261" w:type="dxa"/>
            <w:noWrap w:val="0"/>
            <w:vAlign w:val="top"/>
          </w:tcPr>
          <w:p w14:paraId="326D7455">
            <w:pPr>
              <w:spacing w:line="360" w:lineRule="auto"/>
              <w:rPr>
                <w:rFonts w:hint="eastAsia" w:ascii="仿宋" w:hAnsi="仿宋" w:eastAsia="仿宋" w:cs="仿宋"/>
                <w:b w:val="0"/>
                <w:bCs w:val="0"/>
              </w:rPr>
            </w:pPr>
            <w:r>
              <w:rPr>
                <w:rFonts w:hint="eastAsia" w:ascii="仿宋" w:hAnsi="仿宋" w:eastAsia="仿宋" w:cs="仿宋"/>
                <w:b w:val="0"/>
                <w:bCs w:val="0"/>
              </w:rPr>
              <w:t xml:space="preserve">邮 编： </w:t>
            </w:r>
          </w:p>
        </w:tc>
        <w:tc>
          <w:tcPr>
            <w:tcW w:w="4261" w:type="dxa"/>
            <w:noWrap w:val="0"/>
            <w:vAlign w:val="top"/>
          </w:tcPr>
          <w:p w14:paraId="6ECEC73D">
            <w:pPr>
              <w:spacing w:line="360" w:lineRule="auto"/>
              <w:rPr>
                <w:rFonts w:hint="eastAsia" w:ascii="仿宋" w:hAnsi="仿宋" w:eastAsia="仿宋" w:cs="仿宋"/>
                <w:b w:val="0"/>
                <w:bCs w:val="0"/>
              </w:rPr>
            </w:pPr>
            <w:r>
              <w:rPr>
                <w:rFonts w:hint="eastAsia" w:ascii="仿宋" w:hAnsi="仿宋" w:eastAsia="仿宋" w:cs="仿宋"/>
                <w:b w:val="0"/>
                <w:bCs w:val="0"/>
              </w:rPr>
              <w:t xml:space="preserve">邮 编： </w:t>
            </w:r>
          </w:p>
        </w:tc>
      </w:tr>
      <w:tr w14:paraId="3D802F7F">
        <w:tblPrEx>
          <w:tblCellMar>
            <w:top w:w="0" w:type="dxa"/>
            <w:left w:w="108" w:type="dxa"/>
            <w:bottom w:w="0" w:type="dxa"/>
            <w:right w:w="108" w:type="dxa"/>
          </w:tblCellMar>
        </w:tblPrEx>
        <w:trPr>
          <w:trHeight w:val="367" w:hRule="atLeast"/>
        </w:trPr>
        <w:tc>
          <w:tcPr>
            <w:tcW w:w="4261" w:type="dxa"/>
            <w:noWrap w:val="0"/>
            <w:vAlign w:val="top"/>
          </w:tcPr>
          <w:p w14:paraId="6FEBBE40">
            <w:pPr>
              <w:spacing w:line="360" w:lineRule="auto"/>
              <w:rPr>
                <w:rFonts w:hint="eastAsia" w:ascii="仿宋" w:hAnsi="仿宋" w:eastAsia="仿宋" w:cs="仿宋"/>
                <w:b w:val="0"/>
                <w:bCs w:val="0"/>
              </w:rPr>
            </w:pPr>
            <w:r>
              <w:rPr>
                <w:rFonts w:hint="eastAsia" w:ascii="仿宋" w:hAnsi="仿宋" w:eastAsia="仿宋" w:cs="仿宋"/>
                <w:b w:val="0"/>
                <w:bCs w:val="0"/>
              </w:rPr>
              <w:t xml:space="preserve">电 话： </w:t>
            </w:r>
          </w:p>
        </w:tc>
        <w:tc>
          <w:tcPr>
            <w:tcW w:w="4261" w:type="dxa"/>
            <w:noWrap w:val="0"/>
            <w:vAlign w:val="top"/>
          </w:tcPr>
          <w:p w14:paraId="2D6E45E9">
            <w:pPr>
              <w:spacing w:line="360" w:lineRule="auto"/>
              <w:rPr>
                <w:rFonts w:hint="eastAsia" w:ascii="仿宋" w:hAnsi="仿宋" w:eastAsia="仿宋" w:cs="仿宋"/>
                <w:b w:val="0"/>
                <w:bCs w:val="0"/>
              </w:rPr>
            </w:pPr>
            <w:r>
              <w:rPr>
                <w:rFonts w:hint="eastAsia" w:ascii="仿宋" w:hAnsi="仿宋" w:eastAsia="仿宋" w:cs="仿宋"/>
                <w:b w:val="0"/>
                <w:bCs w:val="0"/>
              </w:rPr>
              <w:t xml:space="preserve">电 话： </w:t>
            </w:r>
          </w:p>
        </w:tc>
      </w:tr>
      <w:tr w14:paraId="6B4AA21F">
        <w:tblPrEx>
          <w:tblCellMar>
            <w:top w:w="0" w:type="dxa"/>
            <w:left w:w="108" w:type="dxa"/>
            <w:bottom w:w="0" w:type="dxa"/>
            <w:right w:w="108" w:type="dxa"/>
          </w:tblCellMar>
        </w:tblPrEx>
        <w:trPr>
          <w:trHeight w:val="367" w:hRule="atLeast"/>
        </w:trPr>
        <w:tc>
          <w:tcPr>
            <w:tcW w:w="4261" w:type="dxa"/>
            <w:noWrap w:val="0"/>
            <w:vAlign w:val="top"/>
          </w:tcPr>
          <w:p w14:paraId="5EE872D9">
            <w:pPr>
              <w:spacing w:line="360" w:lineRule="auto"/>
              <w:rPr>
                <w:rFonts w:hint="eastAsia" w:ascii="仿宋" w:hAnsi="仿宋" w:eastAsia="仿宋" w:cs="仿宋"/>
                <w:b w:val="0"/>
                <w:bCs w:val="0"/>
              </w:rPr>
            </w:pPr>
            <w:r>
              <w:rPr>
                <w:rFonts w:hint="eastAsia" w:ascii="仿宋" w:hAnsi="仿宋" w:eastAsia="仿宋" w:cs="仿宋"/>
                <w:b w:val="0"/>
                <w:bCs w:val="0"/>
              </w:rPr>
              <w:t xml:space="preserve">传 真： </w:t>
            </w:r>
          </w:p>
        </w:tc>
        <w:tc>
          <w:tcPr>
            <w:tcW w:w="4261" w:type="dxa"/>
            <w:noWrap w:val="0"/>
            <w:vAlign w:val="top"/>
          </w:tcPr>
          <w:p w14:paraId="0C57FE9A">
            <w:pPr>
              <w:spacing w:line="360" w:lineRule="auto"/>
              <w:rPr>
                <w:rFonts w:hint="eastAsia" w:ascii="仿宋" w:hAnsi="仿宋" w:eastAsia="仿宋" w:cs="仿宋"/>
                <w:b w:val="0"/>
                <w:bCs w:val="0"/>
              </w:rPr>
            </w:pPr>
            <w:r>
              <w:rPr>
                <w:rFonts w:hint="eastAsia" w:ascii="仿宋" w:hAnsi="仿宋" w:eastAsia="仿宋" w:cs="仿宋"/>
                <w:b w:val="0"/>
                <w:bCs w:val="0"/>
              </w:rPr>
              <w:t xml:space="preserve">传 真： </w:t>
            </w:r>
          </w:p>
        </w:tc>
      </w:tr>
      <w:tr w14:paraId="59D22F1F">
        <w:tblPrEx>
          <w:tblCellMar>
            <w:top w:w="0" w:type="dxa"/>
            <w:left w:w="108" w:type="dxa"/>
            <w:bottom w:w="0" w:type="dxa"/>
            <w:right w:w="108" w:type="dxa"/>
          </w:tblCellMar>
        </w:tblPrEx>
        <w:trPr>
          <w:trHeight w:val="367" w:hRule="atLeast"/>
        </w:trPr>
        <w:tc>
          <w:tcPr>
            <w:tcW w:w="4261" w:type="dxa"/>
            <w:noWrap w:val="0"/>
            <w:vAlign w:val="top"/>
          </w:tcPr>
          <w:p w14:paraId="3D8C56CC">
            <w:pPr>
              <w:spacing w:line="360" w:lineRule="auto"/>
              <w:rPr>
                <w:rFonts w:hint="eastAsia" w:ascii="仿宋" w:hAnsi="仿宋" w:eastAsia="仿宋" w:cs="仿宋"/>
                <w:b w:val="0"/>
                <w:bCs w:val="0"/>
              </w:rPr>
            </w:pPr>
          </w:p>
        </w:tc>
        <w:tc>
          <w:tcPr>
            <w:tcW w:w="4261" w:type="dxa"/>
            <w:noWrap w:val="0"/>
            <w:vAlign w:val="top"/>
          </w:tcPr>
          <w:p w14:paraId="7B6B257A">
            <w:pPr>
              <w:spacing w:line="360" w:lineRule="auto"/>
              <w:rPr>
                <w:rFonts w:hint="eastAsia" w:ascii="仿宋" w:hAnsi="仿宋" w:eastAsia="仿宋" w:cs="仿宋"/>
                <w:b w:val="0"/>
                <w:bCs w:val="0"/>
              </w:rPr>
            </w:pPr>
            <w:r>
              <w:rPr>
                <w:rFonts w:hint="eastAsia" w:ascii="仿宋" w:hAnsi="仿宋" w:eastAsia="仿宋" w:cs="仿宋"/>
                <w:b w:val="0"/>
                <w:bCs w:val="0"/>
              </w:rPr>
              <w:t xml:space="preserve">开户银行： </w:t>
            </w:r>
          </w:p>
        </w:tc>
      </w:tr>
      <w:tr w14:paraId="724BFD4F">
        <w:tblPrEx>
          <w:tblCellMar>
            <w:top w:w="0" w:type="dxa"/>
            <w:left w:w="108" w:type="dxa"/>
            <w:bottom w:w="0" w:type="dxa"/>
            <w:right w:w="108" w:type="dxa"/>
          </w:tblCellMar>
        </w:tblPrEx>
        <w:trPr>
          <w:trHeight w:val="367" w:hRule="atLeast"/>
        </w:trPr>
        <w:tc>
          <w:tcPr>
            <w:tcW w:w="4261" w:type="dxa"/>
            <w:noWrap w:val="0"/>
            <w:vAlign w:val="top"/>
          </w:tcPr>
          <w:p w14:paraId="180AEF8A">
            <w:pPr>
              <w:spacing w:line="360" w:lineRule="auto"/>
              <w:rPr>
                <w:rFonts w:hint="eastAsia" w:ascii="仿宋" w:hAnsi="仿宋" w:eastAsia="仿宋" w:cs="仿宋"/>
                <w:b w:val="0"/>
                <w:bCs w:val="0"/>
              </w:rPr>
            </w:pPr>
          </w:p>
        </w:tc>
        <w:tc>
          <w:tcPr>
            <w:tcW w:w="4261" w:type="dxa"/>
            <w:noWrap w:val="0"/>
            <w:vAlign w:val="top"/>
          </w:tcPr>
          <w:p w14:paraId="197ED46D">
            <w:pPr>
              <w:spacing w:line="360" w:lineRule="auto"/>
              <w:rPr>
                <w:rFonts w:hint="eastAsia" w:ascii="仿宋" w:hAnsi="仿宋" w:eastAsia="仿宋" w:cs="仿宋"/>
                <w:b w:val="0"/>
                <w:bCs w:val="0"/>
              </w:rPr>
            </w:pPr>
            <w:r>
              <w:rPr>
                <w:rFonts w:hint="eastAsia" w:ascii="仿宋" w:hAnsi="仿宋" w:eastAsia="仿宋" w:cs="仿宋"/>
                <w:b w:val="0"/>
                <w:bCs w:val="0"/>
              </w:rPr>
              <w:t xml:space="preserve">帐 号： </w:t>
            </w:r>
          </w:p>
        </w:tc>
      </w:tr>
      <w:tr w14:paraId="728DD1F9">
        <w:tblPrEx>
          <w:tblCellMar>
            <w:top w:w="0" w:type="dxa"/>
            <w:left w:w="108" w:type="dxa"/>
            <w:bottom w:w="0" w:type="dxa"/>
            <w:right w:w="108" w:type="dxa"/>
          </w:tblCellMar>
        </w:tblPrEx>
        <w:trPr>
          <w:trHeight w:val="367" w:hRule="atLeast"/>
        </w:trPr>
        <w:tc>
          <w:tcPr>
            <w:tcW w:w="4261" w:type="dxa"/>
            <w:noWrap w:val="0"/>
            <w:vAlign w:val="top"/>
          </w:tcPr>
          <w:p w14:paraId="5148A472">
            <w:pPr>
              <w:spacing w:line="360" w:lineRule="auto"/>
              <w:rPr>
                <w:rFonts w:hint="eastAsia" w:ascii="仿宋" w:hAnsi="仿宋" w:eastAsia="仿宋" w:cs="仿宋"/>
                <w:b w:val="0"/>
                <w:bCs w:val="0"/>
              </w:rPr>
            </w:pPr>
            <w:r>
              <w:rPr>
                <w:rFonts w:hint="eastAsia" w:ascii="仿宋" w:hAnsi="仿宋" w:eastAsia="仿宋" w:cs="仿宋"/>
                <w:b w:val="0"/>
                <w:bCs w:val="0"/>
              </w:rPr>
              <w:t xml:space="preserve">代表签字： </w:t>
            </w:r>
          </w:p>
        </w:tc>
        <w:tc>
          <w:tcPr>
            <w:tcW w:w="4261" w:type="dxa"/>
            <w:noWrap w:val="0"/>
            <w:vAlign w:val="top"/>
          </w:tcPr>
          <w:p w14:paraId="598021F9">
            <w:pPr>
              <w:spacing w:line="360" w:lineRule="auto"/>
              <w:rPr>
                <w:rFonts w:hint="eastAsia" w:ascii="仿宋" w:hAnsi="仿宋" w:eastAsia="仿宋" w:cs="仿宋"/>
                <w:b w:val="0"/>
                <w:bCs w:val="0"/>
              </w:rPr>
            </w:pPr>
            <w:r>
              <w:rPr>
                <w:rFonts w:hint="eastAsia" w:ascii="仿宋" w:hAnsi="仿宋" w:eastAsia="仿宋" w:cs="仿宋"/>
                <w:b w:val="0"/>
                <w:bCs w:val="0"/>
              </w:rPr>
              <w:t xml:space="preserve">代表签字： </w:t>
            </w:r>
          </w:p>
        </w:tc>
      </w:tr>
      <w:tr w14:paraId="65812568">
        <w:tblPrEx>
          <w:tblCellMar>
            <w:top w:w="0" w:type="dxa"/>
            <w:left w:w="108" w:type="dxa"/>
            <w:bottom w:w="0" w:type="dxa"/>
            <w:right w:w="108" w:type="dxa"/>
          </w:tblCellMar>
        </w:tblPrEx>
        <w:trPr>
          <w:trHeight w:val="367" w:hRule="atLeast"/>
        </w:trPr>
        <w:tc>
          <w:tcPr>
            <w:tcW w:w="4261" w:type="dxa"/>
            <w:noWrap w:val="0"/>
            <w:vAlign w:val="top"/>
          </w:tcPr>
          <w:p w14:paraId="346A2BE5">
            <w:pPr>
              <w:spacing w:line="360" w:lineRule="auto"/>
              <w:rPr>
                <w:rFonts w:hint="eastAsia" w:ascii="仿宋" w:hAnsi="仿宋" w:eastAsia="仿宋" w:cs="仿宋"/>
                <w:b w:val="0"/>
                <w:bCs w:val="0"/>
              </w:rPr>
            </w:pPr>
            <w:r>
              <w:rPr>
                <w:rFonts w:hint="eastAsia" w:ascii="仿宋" w:hAnsi="仿宋" w:eastAsia="仿宋" w:cs="仿宋"/>
                <w:b w:val="0"/>
                <w:bCs w:val="0"/>
              </w:rPr>
              <w:t>日 期：   年    月    日</w:t>
            </w:r>
          </w:p>
        </w:tc>
        <w:tc>
          <w:tcPr>
            <w:tcW w:w="4261" w:type="dxa"/>
            <w:noWrap w:val="0"/>
            <w:vAlign w:val="top"/>
          </w:tcPr>
          <w:p w14:paraId="342863B5">
            <w:pPr>
              <w:spacing w:line="360" w:lineRule="auto"/>
              <w:rPr>
                <w:rFonts w:hint="eastAsia" w:ascii="仿宋" w:hAnsi="仿宋" w:eastAsia="仿宋" w:cs="仿宋"/>
                <w:b w:val="0"/>
                <w:bCs w:val="0"/>
              </w:rPr>
            </w:pPr>
            <w:r>
              <w:rPr>
                <w:rFonts w:hint="eastAsia" w:ascii="仿宋" w:hAnsi="仿宋" w:eastAsia="仿宋" w:cs="仿宋"/>
                <w:b w:val="0"/>
                <w:bCs w:val="0"/>
              </w:rPr>
              <w:t>日 期：   年    月    日</w:t>
            </w:r>
          </w:p>
        </w:tc>
      </w:tr>
    </w:tbl>
    <w:p w14:paraId="05006B22"/>
    <w:p w14:paraId="1FBCB0F4"/>
    <w:p w14:paraId="3CFCCAC0">
      <w:r>
        <w:br w:type="page"/>
      </w:r>
    </w:p>
    <w:p w14:paraId="37966ECF">
      <w:pPr>
        <w:pStyle w:val="3"/>
        <w:outlineLvl w:val="0"/>
        <w:rPr>
          <w:rFonts w:hint="eastAsia" w:ascii="仿宋" w:hAnsi="仿宋" w:eastAsia="仿宋" w:cs="仿宋"/>
          <w:b w:val="0"/>
          <w:bCs w:val="0"/>
          <w:sz w:val="28"/>
          <w:szCs w:val="28"/>
        </w:rPr>
      </w:pPr>
      <w:r>
        <w:rPr>
          <w:rFonts w:hint="eastAsia" w:ascii="仿宋" w:hAnsi="仿宋" w:eastAsia="仿宋" w:cs="仿宋"/>
          <w:b w:val="0"/>
          <w:bCs w:val="0"/>
          <w:sz w:val="28"/>
          <w:szCs w:val="28"/>
        </w:rPr>
        <w:t>包</w:t>
      </w:r>
      <w:r>
        <w:rPr>
          <w:rFonts w:hint="eastAsia" w:ascii="仿宋" w:hAnsi="仿宋" w:eastAsia="仿宋" w:cs="仿宋"/>
          <w:b w:val="0"/>
          <w:bCs w:val="0"/>
          <w:sz w:val="28"/>
          <w:szCs w:val="28"/>
          <w:lang w:val="en-US" w:eastAsia="zh-CN"/>
        </w:rPr>
        <w:t>6、7</w:t>
      </w:r>
      <w:r>
        <w:rPr>
          <w:rFonts w:hint="eastAsia" w:ascii="仿宋" w:hAnsi="仿宋" w:eastAsia="仿宋" w:cs="仿宋"/>
          <w:b w:val="0"/>
          <w:bCs w:val="0"/>
          <w:sz w:val="28"/>
          <w:szCs w:val="28"/>
        </w:rPr>
        <w:t>、</w:t>
      </w:r>
      <w:r>
        <w:rPr>
          <w:rFonts w:hint="eastAsia" w:ascii="仿宋" w:hAnsi="仿宋" w:eastAsia="仿宋" w:cs="仿宋"/>
          <w:b w:val="0"/>
          <w:bCs w:val="0"/>
          <w:sz w:val="28"/>
          <w:szCs w:val="28"/>
          <w:lang w:val="en-US" w:eastAsia="zh-CN"/>
        </w:rPr>
        <w:t>8</w:t>
      </w:r>
      <w:r>
        <w:rPr>
          <w:rFonts w:hint="eastAsia" w:ascii="仿宋" w:hAnsi="仿宋" w:eastAsia="仿宋" w:cs="仿宋"/>
          <w:b w:val="0"/>
          <w:bCs w:val="0"/>
          <w:sz w:val="28"/>
          <w:szCs w:val="28"/>
        </w:rPr>
        <w:t>合同条款及格式</w:t>
      </w:r>
    </w:p>
    <w:p w14:paraId="18C7D242">
      <w:pPr>
        <w:pStyle w:val="3"/>
        <w:rPr>
          <w:rFonts w:hint="eastAsia" w:ascii="仿宋" w:hAnsi="仿宋" w:eastAsia="仿宋" w:cs="仿宋"/>
          <w:b w:val="0"/>
          <w:bCs w:val="0"/>
          <w:szCs w:val="21"/>
        </w:rPr>
      </w:pPr>
      <w:r>
        <w:rPr>
          <w:rFonts w:hint="eastAsia" w:ascii="仿宋" w:hAnsi="仿宋" w:eastAsia="仿宋" w:cs="仿宋"/>
          <w:b w:val="0"/>
          <w:bCs w:val="0"/>
          <w:szCs w:val="21"/>
        </w:rPr>
        <w:t>(本格式条款供双方签订合同参考，采购人可根据项目的实际情况增减条款和内容)</w:t>
      </w:r>
    </w:p>
    <w:p w14:paraId="4DD6DCAE">
      <w:pPr>
        <w:spacing w:line="360" w:lineRule="auto"/>
        <w:jc w:val="center"/>
        <w:rPr>
          <w:rFonts w:hint="eastAsia" w:ascii="仿宋" w:hAnsi="仿宋" w:eastAsia="仿宋" w:cs="仿宋"/>
          <w:b w:val="0"/>
          <w:bCs w:val="0"/>
          <w:szCs w:val="21"/>
        </w:rPr>
      </w:pPr>
      <w:r>
        <w:rPr>
          <w:rFonts w:hint="eastAsia" w:ascii="仿宋" w:hAnsi="仿宋" w:eastAsia="仿宋" w:cs="仿宋"/>
          <w:b w:val="0"/>
          <w:bCs w:val="0"/>
          <w:szCs w:val="21"/>
        </w:rPr>
        <w:t>（仅供参考，均适用于包</w:t>
      </w:r>
      <w:r>
        <w:rPr>
          <w:rFonts w:hint="eastAsia" w:ascii="仿宋" w:hAnsi="仿宋" w:eastAsia="仿宋" w:cs="仿宋"/>
          <w:b w:val="0"/>
          <w:bCs w:val="0"/>
          <w:szCs w:val="21"/>
          <w:lang w:val="en-US" w:eastAsia="zh-CN"/>
        </w:rPr>
        <w:t>6、7</w:t>
      </w:r>
      <w:r>
        <w:rPr>
          <w:rFonts w:hint="eastAsia" w:ascii="仿宋" w:hAnsi="仿宋" w:eastAsia="仿宋" w:cs="仿宋"/>
          <w:b w:val="0"/>
          <w:bCs w:val="0"/>
          <w:szCs w:val="21"/>
        </w:rPr>
        <w:t>、</w:t>
      </w:r>
      <w:r>
        <w:rPr>
          <w:rFonts w:hint="eastAsia" w:ascii="仿宋" w:hAnsi="仿宋" w:eastAsia="仿宋" w:cs="仿宋"/>
          <w:b w:val="0"/>
          <w:bCs w:val="0"/>
          <w:szCs w:val="21"/>
          <w:lang w:val="en-US" w:eastAsia="zh-CN"/>
        </w:rPr>
        <w:t>8</w:t>
      </w:r>
      <w:r>
        <w:rPr>
          <w:rFonts w:hint="eastAsia" w:ascii="仿宋" w:hAnsi="仿宋" w:eastAsia="仿宋" w:cs="仿宋"/>
          <w:b w:val="0"/>
          <w:bCs w:val="0"/>
          <w:szCs w:val="21"/>
        </w:rPr>
        <w:t>）</w:t>
      </w:r>
    </w:p>
    <w:p w14:paraId="6350454E">
      <w:pPr>
        <w:pStyle w:val="3"/>
        <w:spacing w:line="420" w:lineRule="exact"/>
        <w:ind w:firstLine="420" w:firstLineChars="200"/>
        <w:jc w:val="left"/>
        <w:rPr>
          <w:rFonts w:hint="eastAsia" w:ascii="仿宋" w:hAnsi="仿宋" w:eastAsia="仿宋" w:cs="仿宋"/>
          <w:b w:val="0"/>
          <w:bCs w:val="0"/>
        </w:rPr>
      </w:pPr>
      <w:r>
        <w:rPr>
          <w:rFonts w:hint="eastAsia" w:ascii="仿宋" w:hAnsi="仿宋" w:eastAsia="仿宋" w:cs="仿宋"/>
          <w:b w:val="0"/>
          <w:bCs w:val="0"/>
          <w:u w:val="single"/>
          <w:lang w:val="en-US" w:eastAsia="zh-CN"/>
        </w:rPr>
        <w:t>西安市临潼区教育局2025-2026学年度营养改善计划营养早餐及大宗食材采购项目</w:t>
      </w:r>
      <w:r>
        <w:rPr>
          <w:rFonts w:hint="eastAsia" w:ascii="仿宋" w:hAnsi="仿宋" w:eastAsia="仿宋" w:cs="仿宋"/>
          <w:b w:val="0"/>
          <w:bCs w:val="0"/>
        </w:rPr>
        <w:t xml:space="preserve"> (项目编号：ZXGJLTFGS-2025-011)，在西安市临潼区财政局的监督管理下，在西安市临潼区教育局的共同参与下，由</w:t>
      </w:r>
      <w:r>
        <w:rPr>
          <w:rFonts w:hint="eastAsia" w:ascii="仿宋" w:hAnsi="仿宋" w:eastAsia="仿宋" w:cs="仿宋"/>
          <w:b w:val="0"/>
          <w:bCs w:val="0"/>
          <w:szCs w:val="21"/>
        </w:rPr>
        <w:t>中昕国际项目管理有限公司</w:t>
      </w:r>
      <w:r>
        <w:rPr>
          <w:rFonts w:hint="eastAsia" w:ascii="仿宋" w:hAnsi="仿宋" w:eastAsia="仿宋" w:cs="仿宋"/>
          <w:b w:val="0"/>
          <w:bCs w:val="0"/>
        </w:rPr>
        <w:t>组织公开招标。 最终确定 (中标单位名称) （以下简称“卖方”）为本项目第（ ）</w:t>
      </w:r>
      <w:r>
        <w:rPr>
          <w:rFonts w:hint="eastAsia" w:ascii="仿宋" w:hAnsi="仿宋" w:eastAsia="仿宋" w:cs="仿宋"/>
          <w:b w:val="0"/>
          <w:bCs w:val="0"/>
          <w:lang w:val="en-US" w:eastAsia="zh-CN"/>
        </w:rPr>
        <w:t>包</w:t>
      </w:r>
      <w:r>
        <w:rPr>
          <w:rFonts w:hint="eastAsia" w:ascii="仿宋" w:hAnsi="仿宋" w:eastAsia="仿宋" w:cs="仿宋"/>
          <w:b w:val="0"/>
          <w:bCs w:val="0"/>
        </w:rPr>
        <w:t xml:space="preserve">的中标单位。 </w:t>
      </w:r>
    </w:p>
    <w:p w14:paraId="373B9BDF">
      <w:pPr>
        <w:spacing w:line="360" w:lineRule="auto"/>
        <w:ind w:firstLine="420" w:firstLineChars="200"/>
        <w:rPr>
          <w:rFonts w:hint="eastAsia" w:ascii="仿宋" w:hAnsi="仿宋" w:eastAsia="仿宋" w:cs="仿宋"/>
          <w:b w:val="0"/>
          <w:bCs w:val="0"/>
          <w:u w:val="single"/>
          <w:lang w:val="en-US" w:eastAsia="zh-CN"/>
        </w:rPr>
      </w:pPr>
      <w:r>
        <w:rPr>
          <w:rFonts w:hint="eastAsia" w:ascii="仿宋" w:hAnsi="仿宋" w:eastAsia="仿宋" w:cs="仿宋"/>
          <w:b w:val="0"/>
          <w:bCs w:val="0"/>
        </w:rPr>
        <w:t xml:space="preserve">买方： </w:t>
      </w:r>
      <w:r>
        <w:rPr>
          <w:rFonts w:hint="eastAsia" w:ascii="仿宋" w:hAnsi="仿宋" w:eastAsia="仿宋" w:cs="仿宋"/>
          <w:b w:val="0"/>
          <w:bCs w:val="0"/>
          <w:u w:val="single"/>
          <w:lang w:val="en-US" w:eastAsia="zh-CN"/>
        </w:rPr>
        <w:t xml:space="preserve">           </w:t>
      </w:r>
    </w:p>
    <w:p w14:paraId="3C792BC4">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卖方：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rPr>
        <w:t xml:space="preserve">(中标单位名称) </w:t>
      </w:r>
    </w:p>
    <w:p w14:paraId="7FBDF649">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依据《中华人民共和国民法典》和《中华人民共和国政府采购法》，买方通过公开招标采购（</w:t>
      </w:r>
      <w:r>
        <w:rPr>
          <w:rFonts w:hint="eastAsia" w:ascii="仿宋" w:hAnsi="仿宋" w:eastAsia="仿宋" w:cs="仿宋"/>
          <w:b w:val="0"/>
          <w:bCs w:val="0"/>
          <w:lang w:val="en-US" w:eastAsia="zh-CN"/>
        </w:rPr>
        <w:t>肉、蛋</w:t>
      </w:r>
      <w:r>
        <w:rPr>
          <w:rFonts w:hint="eastAsia" w:ascii="仿宋" w:hAnsi="仿宋" w:eastAsia="仿宋" w:cs="仿宋"/>
          <w:b w:val="0"/>
          <w:bCs w:val="0"/>
        </w:rPr>
        <w:t xml:space="preserve">），并接受了卖方以价格(中标金额大写)(中标单价)提供的产品及服务。 </w:t>
      </w:r>
    </w:p>
    <w:p w14:paraId="2C85AA45">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一、买方向卖方提供货物：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1"/>
        <w:gridCol w:w="1063"/>
        <w:gridCol w:w="1064"/>
        <w:gridCol w:w="1064"/>
        <w:gridCol w:w="1065"/>
        <w:gridCol w:w="1065"/>
        <w:gridCol w:w="1065"/>
        <w:gridCol w:w="1065"/>
      </w:tblGrid>
      <w:tr w14:paraId="4B981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8" w:type="dxa"/>
            <w:noWrap w:val="0"/>
            <w:vAlign w:val="top"/>
          </w:tcPr>
          <w:p w14:paraId="3115CD25">
            <w:pPr>
              <w:spacing w:line="360" w:lineRule="auto"/>
              <w:jc w:val="center"/>
              <w:rPr>
                <w:rFonts w:hint="eastAsia" w:ascii="仿宋" w:hAnsi="仿宋" w:eastAsia="仿宋" w:cs="仿宋"/>
                <w:b w:val="0"/>
                <w:bCs w:val="0"/>
              </w:rPr>
            </w:pPr>
            <w:r>
              <w:rPr>
                <w:rFonts w:hint="eastAsia" w:ascii="仿宋" w:hAnsi="仿宋" w:eastAsia="仿宋" w:cs="仿宋"/>
                <w:b w:val="0"/>
                <w:bCs w:val="0"/>
              </w:rPr>
              <w:t>序号</w:t>
            </w:r>
          </w:p>
        </w:tc>
        <w:tc>
          <w:tcPr>
            <w:tcW w:w="1118" w:type="dxa"/>
            <w:noWrap w:val="0"/>
            <w:vAlign w:val="top"/>
          </w:tcPr>
          <w:p w14:paraId="129B7E3A">
            <w:pPr>
              <w:spacing w:line="360" w:lineRule="auto"/>
              <w:jc w:val="center"/>
              <w:rPr>
                <w:rFonts w:hint="eastAsia" w:ascii="仿宋" w:hAnsi="仿宋" w:eastAsia="仿宋" w:cs="仿宋"/>
                <w:b w:val="0"/>
                <w:bCs w:val="0"/>
              </w:rPr>
            </w:pPr>
            <w:r>
              <w:rPr>
                <w:rFonts w:hint="eastAsia" w:ascii="仿宋" w:hAnsi="仿宋" w:eastAsia="仿宋" w:cs="仿宋"/>
                <w:b w:val="0"/>
                <w:bCs w:val="0"/>
              </w:rPr>
              <w:t>名称</w:t>
            </w:r>
          </w:p>
        </w:tc>
        <w:tc>
          <w:tcPr>
            <w:tcW w:w="1118" w:type="dxa"/>
            <w:noWrap w:val="0"/>
            <w:vAlign w:val="top"/>
          </w:tcPr>
          <w:p w14:paraId="418229CD">
            <w:pPr>
              <w:spacing w:line="360" w:lineRule="auto"/>
              <w:jc w:val="center"/>
              <w:rPr>
                <w:rFonts w:hint="eastAsia" w:ascii="仿宋" w:hAnsi="仿宋" w:eastAsia="仿宋" w:cs="仿宋"/>
                <w:b w:val="0"/>
                <w:bCs w:val="0"/>
              </w:rPr>
            </w:pPr>
            <w:r>
              <w:rPr>
                <w:rFonts w:hint="eastAsia" w:ascii="仿宋" w:hAnsi="仿宋" w:eastAsia="仿宋" w:cs="仿宋"/>
                <w:b w:val="0"/>
                <w:bCs w:val="0"/>
              </w:rPr>
              <w:t>规格</w:t>
            </w:r>
          </w:p>
        </w:tc>
        <w:tc>
          <w:tcPr>
            <w:tcW w:w="1118" w:type="dxa"/>
            <w:noWrap w:val="0"/>
            <w:vAlign w:val="top"/>
          </w:tcPr>
          <w:p w14:paraId="02B43CB8">
            <w:pPr>
              <w:spacing w:line="360" w:lineRule="auto"/>
              <w:jc w:val="center"/>
              <w:rPr>
                <w:rFonts w:hint="eastAsia" w:ascii="仿宋" w:hAnsi="仿宋" w:eastAsia="仿宋" w:cs="仿宋"/>
                <w:b w:val="0"/>
                <w:bCs w:val="0"/>
              </w:rPr>
            </w:pPr>
            <w:r>
              <w:rPr>
                <w:rFonts w:hint="eastAsia" w:ascii="仿宋" w:hAnsi="仿宋" w:eastAsia="仿宋" w:cs="仿宋"/>
                <w:b w:val="0"/>
                <w:bCs w:val="0"/>
              </w:rPr>
              <w:t>包装形式</w:t>
            </w:r>
          </w:p>
        </w:tc>
        <w:tc>
          <w:tcPr>
            <w:tcW w:w="1119" w:type="dxa"/>
            <w:noWrap w:val="0"/>
            <w:vAlign w:val="top"/>
          </w:tcPr>
          <w:p w14:paraId="1C1D18BE">
            <w:pPr>
              <w:spacing w:line="360" w:lineRule="auto"/>
              <w:jc w:val="center"/>
              <w:rPr>
                <w:rFonts w:hint="eastAsia" w:ascii="仿宋" w:hAnsi="仿宋" w:eastAsia="仿宋" w:cs="仿宋"/>
                <w:b w:val="0"/>
                <w:bCs w:val="0"/>
              </w:rPr>
            </w:pPr>
            <w:r>
              <w:rPr>
                <w:rFonts w:hint="eastAsia" w:ascii="仿宋" w:hAnsi="仿宋" w:eastAsia="仿宋" w:cs="仿宋"/>
                <w:b w:val="0"/>
                <w:bCs w:val="0"/>
              </w:rPr>
              <w:t>品牌</w:t>
            </w:r>
          </w:p>
        </w:tc>
        <w:tc>
          <w:tcPr>
            <w:tcW w:w="1119" w:type="dxa"/>
            <w:noWrap w:val="0"/>
            <w:vAlign w:val="top"/>
          </w:tcPr>
          <w:p w14:paraId="2E88D361">
            <w:pPr>
              <w:spacing w:line="360" w:lineRule="auto"/>
              <w:jc w:val="center"/>
              <w:rPr>
                <w:rFonts w:hint="eastAsia" w:ascii="仿宋" w:hAnsi="仿宋" w:eastAsia="仿宋" w:cs="仿宋"/>
                <w:b w:val="0"/>
                <w:bCs w:val="0"/>
              </w:rPr>
            </w:pPr>
            <w:r>
              <w:rPr>
                <w:rFonts w:hint="eastAsia" w:ascii="仿宋" w:hAnsi="仿宋" w:eastAsia="仿宋" w:cs="仿宋"/>
                <w:b w:val="0"/>
                <w:bCs w:val="0"/>
              </w:rPr>
              <w:t>数量</w:t>
            </w:r>
          </w:p>
        </w:tc>
        <w:tc>
          <w:tcPr>
            <w:tcW w:w="1119" w:type="dxa"/>
            <w:noWrap w:val="0"/>
            <w:vAlign w:val="top"/>
          </w:tcPr>
          <w:p w14:paraId="56B38A79">
            <w:pPr>
              <w:spacing w:line="360" w:lineRule="auto"/>
              <w:jc w:val="center"/>
              <w:rPr>
                <w:rFonts w:hint="eastAsia" w:ascii="仿宋" w:hAnsi="仿宋" w:eastAsia="仿宋" w:cs="仿宋"/>
                <w:b w:val="0"/>
                <w:bCs w:val="0"/>
              </w:rPr>
            </w:pPr>
            <w:r>
              <w:rPr>
                <w:rFonts w:hint="eastAsia" w:ascii="仿宋" w:hAnsi="仿宋" w:eastAsia="仿宋" w:cs="仿宋"/>
                <w:b w:val="0"/>
                <w:bCs w:val="0"/>
              </w:rPr>
              <w:t>单价</w:t>
            </w:r>
          </w:p>
        </w:tc>
        <w:tc>
          <w:tcPr>
            <w:tcW w:w="1119" w:type="dxa"/>
            <w:noWrap w:val="0"/>
            <w:vAlign w:val="top"/>
          </w:tcPr>
          <w:p w14:paraId="76CACD8D">
            <w:pPr>
              <w:spacing w:line="360" w:lineRule="auto"/>
              <w:jc w:val="center"/>
              <w:rPr>
                <w:rFonts w:hint="eastAsia" w:ascii="仿宋" w:hAnsi="仿宋" w:eastAsia="仿宋" w:cs="仿宋"/>
                <w:b w:val="0"/>
                <w:bCs w:val="0"/>
              </w:rPr>
            </w:pPr>
            <w:r>
              <w:rPr>
                <w:rFonts w:hint="eastAsia" w:ascii="仿宋" w:hAnsi="仿宋" w:eastAsia="仿宋" w:cs="仿宋"/>
                <w:b w:val="0"/>
                <w:bCs w:val="0"/>
              </w:rPr>
              <w:t>总价</w:t>
            </w:r>
          </w:p>
        </w:tc>
      </w:tr>
      <w:tr w14:paraId="49265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8" w:type="dxa"/>
            <w:noWrap w:val="0"/>
            <w:vAlign w:val="top"/>
          </w:tcPr>
          <w:p w14:paraId="4B0B4C8E">
            <w:pPr>
              <w:spacing w:line="360" w:lineRule="auto"/>
              <w:jc w:val="center"/>
              <w:rPr>
                <w:rFonts w:hint="eastAsia" w:ascii="仿宋" w:hAnsi="仿宋" w:eastAsia="仿宋" w:cs="仿宋"/>
                <w:b w:val="0"/>
                <w:bCs w:val="0"/>
              </w:rPr>
            </w:pPr>
            <w:r>
              <w:rPr>
                <w:rFonts w:hint="eastAsia" w:ascii="仿宋" w:hAnsi="仿宋" w:eastAsia="仿宋" w:cs="仿宋"/>
                <w:b w:val="0"/>
                <w:bCs w:val="0"/>
              </w:rPr>
              <w:t>1</w:t>
            </w:r>
          </w:p>
        </w:tc>
        <w:tc>
          <w:tcPr>
            <w:tcW w:w="1118" w:type="dxa"/>
            <w:noWrap w:val="0"/>
            <w:vAlign w:val="top"/>
          </w:tcPr>
          <w:p w14:paraId="54BCD4B4">
            <w:pPr>
              <w:spacing w:line="360" w:lineRule="auto"/>
              <w:jc w:val="center"/>
              <w:rPr>
                <w:rFonts w:hint="eastAsia" w:ascii="仿宋" w:hAnsi="仿宋" w:eastAsia="仿宋" w:cs="仿宋"/>
                <w:b w:val="0"/>
                <w:bCs w:val="0"/>
              </w:rPr>
            </w:pPr>
          </w:p>
        </w:tc>
        <w:tc>
          <w:tcPr>
            <w:tcW w:w="1118" w:type="dxa"/>
            <w:noWrap w:val="0"/>
            <w:vAlign w:val="top"/>
          </w:tcPr>
          <w:p w14:paraId="703BD15A">
            <w:pPr>
              <w:spacing w:line="360" w:lineRule="auto"/>
              <w:jc w:val="center"/>
              <w:rPr>
                <w:rFonts w:hint="eastAsia" w:ascii="仿宋" w:hAnsi="仿宋" w:eastAsia="仿宋" w:cs="仿宋"/>
                <w:b w:val="0"/>
                <w:bCs w:val="0"/>
              </w:rPr>
            </w:pPr>
          </w:p>
        </w:tc>
        <w:tc>
          <w:tcPr>
            <w:tcW w:w="1118" w:type="dxa"/>
            <w:noWrap w:val="0"/>
            <w:vAlign w:val="top"/>
          </w:tcPr>
          <w:p w14:paraId="55FCB143">
            <w:pPr>
              <w:spacing w:line="360" w:lineRule="auto"/>
              <w:jc w:val="center"/>
              <w:rPr>
                <w:rFonts w:hint="eastAsia" w:ascii="仿宋" w:hAnsi="仿宋" w:eastAsia="仿宋" w:cs="仿宋"/>
                <w:b w:val="0"/>
                <w:bCs w:val="0"/>
              </w:rPr>
            </w:pPr>
          </w:p>
        </w:tc>
        <w:tc>
          <w:tcPr>
            <w:tcW w:w="1119" w:type="dxa"/>
            <w:noWrap w:val="0"/>
            <w:vAlign w:val="top"/>
          </w:tcPr>
          <w:p w14:paraId="1AB76C99">
            <w:pPr>
              <w:spacing w:line="360" w:lineRule="auto"/>
              <w:jc w:val="center"/>
              <w:rPr>
                <w:rFonts w:hint="eastAsia" w:ascii="仿宋" w:hAnsi="仿宋" w:eastAsia="仿宋" w:cs="仿宋"/>
                <w:b w:val="0"/>
                <w:bCs w:val="0"/>
              </w:rPr>
            </w:pPr>
          </w:p>
        </w:tc>
        <w:tc>
          <w:tcPr>
            <w:tcW w:w="1119" w:type="dxa"/>
            <w:noWrap w:val="0"/>
            <w:vAlign w:val="top"/>
          </w:tcPr>
          <w:p w14:paraId="61A1EF74">
            <w:pPr>
              <w:spacing w:line="360" w:lineRule="auto"/>
              <w:jc w:val="center"/>
              <w:rPr>
                <w:rFonts w:hint="eastAsia" w:ascii="仿宋" w:hAnsi="仿宋" w:eastAsia="仿宋" w:cs="仿宋"/>
                <w:b w:val="0"/>
                <w:bCs w:val="0"/>
              </w:rPr>
            </w:pPr>
          </w:p>
        </w:tc>
        <w:tc>
          <w:tcPr>
            <w:tcW w:w="1119" w:type="dxa"/>
            <w:noWrap w:val="0"/>
            <w:vAlign w:val="top"/>
          </w:tcPr>
          <w:p w14:paraId="3ACE0027">
            <w:pPr>
              <w:spacing w:line="360" w:lineRule="auto"/>
              <w:jc w:val="center"/>
              <w:rPr>
                <w:rFonts w:hint="eastAsia" w:ascii="仿宋" w:hAnsi="仿宋" w:eastAsia="仿宋" w:cs="仿宋"/>
                <w:b w:val="0"/>
                <w:bCs w:val="0"/>
              </w:rPr>
            </w:pPr>
          </w:p>
        </w:tc>
        <w:tc>
          <w:tcPr>
            <w:tcW w:w="1119" w:type="dxa"/>
            <w:noWrap w:val="0"/>
            <w:vAlign w:val="top"/>
          </w:tcPr>
          <w:p w14:paraId="09D069A0">
            <w:pPr>
              <w:spacing w:line="360" w:lineRule="auto"/>
              <w:jc w:val="center"/>
              <w:rPr>
                <w:rFonts w:hint="eastAsia" w:ascii="仿宋" w:hAnsi="仿宋" w:eastAsia="仿宋" w:cs="仿宋"/>
                <w:b w:val="0"/>
                <w:bCs w:val="0"/>
              </w:rPr>
            </w:pPr>
          </w:p>
        </w:tc>
      </w:tr>
      <w:tr w14:paraId="1AC5C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8" w:type="dxa"/>
            <w:noWrap w:val="0"/>
            <w:vAlign w:val="top"/>
          </w:tcPr>
          <w:p w14:paraId="2F799AA4">
            <w:pPr>
              <w:spacing w:line="360" w:lineRule="auto"/>
              <w:jc w:val="center"/>
              <w:rPr>
                <w:rFonts w:hint="eastAsia" w:ascii="仿宋" w:hAnsi="仿宋" w:eastAsia="仿宋" w:cs="仿宋"/>
                <w:b w:val="0"/>
                <w:bCs w:val="0"/>
              </w:rPr>
            </w:pPr>
            <w:r>
              <w:rPr>
                <w:rFonts w:hint="eastAsia" w:ascii="仿宋" w:hAnsi="仿宋" w:eastAsia="仿宋" w:cs="仿宋"/>
                <w:b w:val="0"/>
                <w:bCs w:val="0"/>
              </w:rPr>
              <w:t>2</w:t>
            </w:r>
          </w:p>
        </w:tc>
        <w:tc>
          <w:tcPr>
            <w:tcW w:w="1118" w:type="dxa"/>
            <w:noWrap w:val="0"/>
            <w:vAlign w:val="top"/>
          </w:tcPr>
          <w:p w14:paraId="74452B84">
            <w:pPr>
              <w:spacing w:line="360" w:lineRule="auto"/>
              <w:jc w:val="center"/>
              <w:rPr>
                <w:rFonts w:hint="eastAsia" w:ascii="仿宋" w:hAnsi="仿宋" w:eastAsia="仿宋" w:cs="仿宋"/>
                <w:b w:val="0"/>
                <w:bCs w:val="0"/>
              </w:rPr>
            </w:pPr>
          </w:p>
        </w:tc>
        <w:tc>
          <w:tcPr>
            <w:tcW w:w="1118" w:type="dxa"/>
            <w:noWrap w:val="0"/>
            <w:vAlign w:val="top"/>
          </w:tcPr>
          <w:p w14:paraId="65F7C1EC">
            <w:pPr>
              <w:spacing w:line="360" w:lineRule="auto"/>
              <w:jc w:val="center"/>
              <w:rPr>
                <w:rFonts w:hint="eastAsia" w:ascii="仿宋" w:hAnsi="仿宋" w:eastAsia="仿宋" w:cs="仿宋"/>
                <w:b w:val="0"/>
                <w:bCs w:val="0"/>
              </w:rPr>
            </w:pPr>
          </w:p>
        </w:tc>
        <w:tc>
          <w:tcPr>
            <w:tcW w:w="1118" w:type="dxa"/>
            <w:noWrap w:val="0"/>
            <w:vAlign w:val="top"/>
          </w:tcPr>
          <w:p w14:paraId="6F383692">
            <w:pPr>
              <w:spacing w:line="360" w:lineRule="auto"/>
              <w:jc w:val="center"/>
              <w:rPr>
                <w:rFonts w:hint="eastAsia" w:ascii="仿宋" w:hAnsi="仿宋" w:eastAsia="仿宋" w:cs="仿宋"/>
                <w:b w:val="0"/>
                <w:bCs w:val="0"/>
              </w:rPr>
            </w:pPr>
          </w:p>
        </w:tc>
        <w:tc>
          <w:tcPr>
            <w:tcW w:w="1119" w:type="dxa"/>
            <w:noWrap w:val="0"/>
            <w:vAlign w:val="top"/>
          </w:tcPr>
          <w:p w14:paraId="71468A9F">
            <w:pPr>
              <w:spacing w:line="360" w:lineRule="auto"/>
              <w:jc w:val="center"/>
              <w:rPr>
                <w:rFonts w:hint="eastAsia" w:ascii="仿宋" w:hAnsi="仿宋" w:eastAsia="仿宋" w:cs="仿宋"/>
                <w:b w:val="0"/>
                <w:bCs w:val="0"/>
              </w:rPr>
            </w:pPr>
          </w:p>
        </w:tc>
        <w:tc>
          <w:tcPr>
            <w:tcW w:w="1119" w:type="dxa"/>
            <w:noWrap w:val="0"/>
            <w:vAlign w:val="top"/>
          </w:tcPr>
          <w:p w14:paraId="45BF9163">
            <w:pPr>
              <w:spacing w:line="360" w:lineRule="auto"/>
              <w:jc w:val="center"/>
              <w:rPr>
                <w:rFonts w:hint="eastAsia" w:ascii="仿宋" w:hAnsi="仿宋" w:eastAsia="仿宋" w:cs="仿宋"/>
                <w:b w:val="0"/>
                <w:bCs w:val="0"/>
              </w:rPr>
            </w:pPr>
          </w:p>
        </w:tc>
        <w:tc>
          <w:tcPr>
            <w:tcW w:w="1119" w:type="dxa"/>
            <w:noWrap w:val="0"/>
            <w:vAlign w:val="top"/>
          </w:tcPr>
          <w:p w14:paraId="4BB2C0BC">
            <w:pPr>
              <w:spacing w:line="360" w:lineRule="auto"/>
              <w:jc w:val="center"/>
              <w:rPr>
                <w:rFonts w:hint="eastAsia" w:ascii="仿宋" w:hAnsi="仿宋" w:eastAsia="仿宋" w:cs="仿宋"/>
                <w:b w:val="0"/>
                <w:bCs w:val="0"/>
              </w:rPr>
            </w:pPr>
          </w:p>
        </w:tc>
        <w:tc>
          <w:tcPr>
            <w:tcW w:w="1119" w:type="dxa"/>
            <w:noWrap w:val="0"/>
            <w:vAlign w:val="top"/>
          </w:tcPr>
          <w:p w14:paraId="208740D2">
            <w:pPr>
              <w:spacing w:line="360" w:lineRule="auto"/>
              <w:jc w:val="center"/>
              <w:rPr>
                <w:rFonts w:hint="eastAsia" w:ascii="仿宋" w:hAnsi="仿宋" w:eastAsia="仿宋" w:cs="仿宋"/>
                <w:b w:val="0"/>
                <w:bCs w:val="0"/>
              </w:rPr>
            </w:pPr>
          </w:p>
        </w:tc>
      </w:tr>
      <w:tr w14:paraId="01F60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8" w:type="dxa"/>
            <w:noWrap w:val="0"/>
            <w:vAlign w:val="top"/>
          </w:tcPr>
          <w:p w14:paraId="4AB2B692">
            <w:pPr>
              <w:spacing w:line="360" w:lineRule="auto"/>
              <w:jc w:val="center"/>
              <w:rPr>
                <w:rFonts w:hint="eastAsia" w:ascii="仿宋" w:hAnsi="仿宋" w:eastAsia="仿宋" w:cs="仿宋"/>
                <w:b w:val="0"/>
                <w:bCs w:val="0"/>
              </w:rPr>
            </w:pPr>
            <w:r>
              <w:rPr>
                <w:rFonts w:hint="eastAsia" w:ascii="仿宋" w:hAnsi="仿宋" w:eastAsia="仿宋" w:cs="仿宋"/>
                <w:b w:val="0"/>
                <w:bCs w:val="0"/>
              </w:rPr>
              <w:t>...</w:t>
            </w:r>
          </w:p>
        </w:tc>
        <w:tc>
          <w:tcPr>
            <w:tcW w:w="1118" w:type="dxa"/>
            <w:noWrap w:val="0"/>
            <w:vAlign w:val="top"/>
          </w:tcPr>
          <w:p w14:paraId="24D13562">
            <w:pPr>
              <w:spacing w:line="360" w:lineRule="auto"/>
              <w:jc w:val="center"/>
              <w:rPr>
                <w:rFonts w:hint="eastAsia" w:ascii="仿宋" w:hAnsi="仿宋" w:eastAsia="仿宋" w:cs="仿宋"/>
                <w:b w:val="0"/>
                <w:bCs w:val="0"/>
              </w:rPr>
            </w:pPr>
          </w:p>
        </w:tc>
        <w:tc>
          <w:tcPr>
            <w:tcW w:w="1118" w:type="dxa"/>
            <w:noWrap w:val="0"/>
            <w:vAlign w:val="top"/>
          </w:tcPr>
          <w:p w14:paraId="6AFE60A6">
            <w:pPr>
              <w:spacing w:line="360" w:lineRule="auto"/>
              <w:jc w:val="center"/>
              <w:rPr>
                <w:rFonts w:hint="eastAsia" w:ascii="仿宋" w:hAnsi="仿宋" w:eastAsia="仿宋" w:cs="仿宋"/>
                <w:b w:val="0"/>
                <w:bCs w:val="0"/>
              </w:rPr>
            </w:pPr>
          </w:p>
        </w:tc>
        <w:tc>
          <w:tcPr>
            <w:tcW w:w="1118" w:type="dxa"/>
            <w:noWrap w:val="0"/>
            <w:vAlign w:val="top"/>
          </w:tcPr>
          <w:p w14:paraId="3EAA7AE7">
            <w:pPr>
              <w:spacing w:line="360" w:lineRule="auto"/>
              <w:jc w:val="center"/>
              <w:rPr>
                <w:rFonts w:hint="eastAsia" w:ascii="仿宋" w:hAnsi="仿宋" w:eastAsia="仿宋" w:cs="仿宋"/>
                <w:b w:val="0"/>
                <w:bCs w:val="0"/>
              </w:rPr>
            </w:pPr>
          </w:p>
        </w:tc>
        <w:tc>
          <w:tcPr>
            <w:tcW w:w="1119" w:type="dxa"/>
            <w:noWrap w:val="0"/>
            <w:vAlign w:val="top"/>
          </w:tcPr>
          <w:p w14:paraId="0DBD7C10">
            <w:pPr>
              <w:spacing w:line="360" w:lineRule="auto"/>
              <w:jc w:val="center"/>
              <w:rPr>
                <w:rFonts w:hint="eastAsia" w:ascii="仿宋" w:hAnsi="仿宋" w:eastAsia="仿宋" w:cs="仿宋"/>
                <w:b w:val="0"/>
                <w:bCs w:val="0"/>
              </w:rPr>
            </w:pPr>
          </w:p>
        </w:tc>
        <w:tc>
          <w:tcPr>
            <w:tcW w:w="1119" w:type="dxa"/>
            <w:noWrap w:val="0"/>
            <w:vAlign w:val="top"/>
          </w:tcPr>
          <w:p w14:paraId="68C52E3D">
            <w:pPr>
              <w:spacing w:line="360" w:lineRule="auto"/>
              <w:jc w:val="center"/>
              <w:rPr>
                <w:rFonts w:hint="eastAsia" w:ascii="仿宋" w:hAnsi="仿宋" w:eastAsia="仿宋" w:cs="仿宋"/>
                <w:b w:val="0"/>
                <w:bCs w:val="0"/>
              </w:rPr>
            </w:pPr>
          </w:p>
        </w:tc>
        <w:tc>
          <w:tcPr>
            <w:tcW w:w="1119" w:type="dxa"/>
            <w:noWrap w:val="0"/>
            <w:vAlign w:val="top"/>
          </w:tcPr>
          <w:p w14:paraId="797359EC">
            <w:pPr>
              <w:spacing w:line="360" w:lineRule="auto"/>
              <w:jc w:val="center"/>
              <w:rPr>
                <w:rFonts w:hint="eastAsia" w:ascii="仿宋" w:hAnsi="仿宋" w:eastAsia="仿宋" w:cs="仿宋"/>
                <w:b w:val="0"/>
                <w:bCs w:val="0"/>
              </w:rPr>
            </w:pPr>
          </w:p>
        </w:tc>
        <w:tc>
          <w:tcPr>
            <w:tcW w:w="1119" w:type="dxa"/>
            <w:noWrap w:val="0"/>
            <w:vAlign w:val="top"/>
          </w:tcPr>
          <w:p w14:paraId="5D47FCD1">
            <w:pPr>
              <w:spacing w:line="360" w:lineRule="auto"/>
              <w:jc w:val="center"/>
              <w:rPr>
                <w:rFonts w:hint="eastAsia" w:ascii="仿宋" w:hAnsi="仿宋" w:eastAsia="仿宋" w:cs="仿宋"/>
                <w:b w:val="0"/>
                <w:bCs w:val="0"/>
              </w:rPr>
            </w:pPr>
          </w:p>
        </w:tc>
      </w:tr>
      <w:tr w14:paraId="2E671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8" w:type="dxa"/>
            <w:noWrap w:val="0"/>
            <w:vAlign w:val="top"/>
          </w:tcPr>
          <w:p w14:paraId="5B1C4F6B">
            <w:pPr>
              <w:spacing w:line="360" w:lineRule="auto"/>
              <w:jc w:val="center"/>
              <w:rPr>
                <w:rFonts w:hint="eastAsia" w:ascii="仿宋" w:hAnsi="仿宋" w:eastAsia="仿宋" w:cs="仿宋"/>
                <w:b w:val="0"/>
                <w:bCs w:val="0"/>
              </w:rPr>
            </w:pPr>
            <w:r>
              <w:rPr>
                <w:rFonts w:hint="eastAsia" w:ascii="仿宋" w:hAnsi="仿宋" w:eastAsia="仿宋" w:cs="仿宋"/>
                <w:b w:val="0"/>
                <w:bCs w:val="0"/>
              </w:rPr>
              <w:t>合计</w:t>
            </w:r>
          </w:p>
        </w:tc>
        <w:tc>
          <w:tcPr>
            <w:tcW w:w="1118" w:type="dxa"/>
            <w:noWrap w:val="0"/>
            <w:vAlign w:val="top"/>
          </w:tcPr>
          <w:p w14:paraId="74823C15">
            <w:pPr>
              <w:spacing w:line="360" w:lineRule="auto"/>
              <w:jc w:val="center"/>
              <w:rPr>
                <w:rFonts w:hint="eastAsia" w:ascii="仿宋" w:hAnsi="仿宋" w:eastAsia="仿宋" w:cs="仿宋"/>
                <w:b w:val="0"/>
                <w:bCs w:val="0"/>
              </w:rPr>
            </w:pPr>
          </w:p>
        </w:tc>
        <w:tc>
          <w:tcPr>
            <w:tcW w:w="1118" w:type="dxa"/>
            <w:noWrap w:val="0"/>
            <w:vAlign w:val="top"/>
          </w:tcPr>
          <w:p w14:paraId="5845B294">
            <w:pPr>
              <w:spacing w:line="360" w:lineRule="auto"/>
              <w:jc w:val="center"/>
              <w:rPr>
                <w:rFonts w:hint="eastAsia" w:ascii="仿宋" w:hAnsi="仿宋" w:eastAsia="仿宋" w:cs="仿宋"/>
                <w:b w:val="0"/>
                <w:bCs w:val="0"/>
              </w:rPr>
            </w:pPr>
          </w:p>
        </w:tc>
        <w:tc>
          <w:tcPr>
            <w:tcW w:w="1118" w:type="dxa"/>
            <w:noWrap w:val="0"/>
            <w:vAlign w:val="top"/>
          </w:tcPr>
          <w:p w14:paraId="23B0FFAA">
            <w:pPr>
              <w:spacing w:line="360" w:lineRule="auto"/>
              <w:jc w:val="center"/>
              <w:rPr>
                <w:rFonts w:hint="eastAsia" w:ascii="仿宋" w:hAnsi="仿宋" w:eastAsia="仿宋" w:cs="仿宋"/>
                <w:b w:val="0"/>
                <w:bCs w:val="0"/>
              </w:rPr>
            </w:pPr>
          </w:p>
        </w:tc>
        <w:tc>
          <w:tcPr>
            <w:tcW w:w="1119" w:type="dxa"/>
            <w:noWrap w:val="0"/>
            <w:vAlign w:val="top"/>
          </w:tcPr>
          <w:p w14:paraId="30DD5037">
            <w:pPr>
              <w:spacing w:line="360" w:lineRule="auto"/>
              <w:jc w:val="center"/>
              <w:rPr>
                <w:rFonts w:hint="eastAsia" w:ascii="仿宋" w:hAnsi="仿宋" w:eastAsia="仿宋" w:cs="仿宋"/>
                <w:b w:val="0"/>
                <w:bCs w:val="0"/>
              </w:rPr>
            </w:pPr>
          </w:p>
        </w:tc>
        <w:tc>
          <w:tcPr>
            <w:tcW w:w="1119" w:type="dxa"/>
            <w:noWrap w:val="0"/>
            <w:vAlign w:val="top"/>
          </w:tcPr>
          <w:p w14:paraId="0EA663C0">
            <w:pPr>
              <w:spacing w:line="360" w:lineRule="auto"/>
              <w:jc w:val="center"/>
              <w:rPr>
                <w:rFonts w:hint="eastAsia" w:ascii="仿宋" w:hAnsi="仿宋" w:eastAsia="仿宋" w:cs="仿宋"/>
                <w:b w:val="0"/>
                <w:bCs w:val="0"/>
              </w:rPr>
            </w:pPr>
          </w:p>
        </w:tc>
        <w:tc>
          <w:tcPr>
            <w:tcW w:w="1119" w:type="dxa"/>
            <w:noWrap w:val="0"/>
            <w:vAlign w:val="top"/>
          </w:tcPr>
          <w:p w14:paraId="3A3FB198">
            <w:pPr>
              <w:spacing w:line="360" w:lineRule="auto"/>
              <w:jc w:val="center"/>
              <w:rPr>
                <w:rFonts w:hint="eastAsia" w:ascii="仿宋" w:hAnsi="仿宋" w:eastAsia="仿宋" w:cs="仿宋"/>
                <w:b w:val="0"/>
                <w:bCs w:val="0"/>
              </w:rPr>
            </w:pPr>
          </w:p>
        </w:tc>
        <w:tc>
          <w:tcPr>
            <w:tcW w:w="1119" w:type="dxa"/>
            <w:noWrap w:val="0"/>
            <w:vAlign w:val="top"/>
          </w:tcPr>
          <w:p w14:paraId="7D2F23F8">
            <w:pPr>
              <w:spacing w:line="360" w:lineRule="auto"/>
              <w:jc w:val="center"/>
              <w:rPr>
                <w:rFonts w:hint="eastAsia" w:ascii="仿宋" w:hAnsi="仿宋" w:eastAsia="仿宋" w:cs="仿宋"/>
                <w:b w:val="0"/>
                <w:bCs w:val="0"/>
              </w:rPr>
            </w:pPr>
          </w:p>
        </w:tc>
      </w:tr>
    </w:tbl>
    <w:p w14:paraId="778E1276">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二、合同价款 </w:t>
      </w:r>
    </w:p>
    <w:p w14:paraId="04E58C0C">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1、合同价款： </w:t>
      </w:r>
    </w:p>
    <w:p w14:paraId="5ED61DD9">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2、合同价包括：合同总价为产品送达到指定地点包括的所有费用。包括产品供应费、储存费、配送费（含仓储费、</w:t>
      </w:r>
      <w:bookmarkStart w:id="0" w:name="_GoBack"/>
      <w:r>
        <w:rPr>
          <w:rFonts w:hint="eastAsia" w:ascii="仿宋" w:hAnsi="仿宋" w:eastAsia="仿宋" w:cs="仿宋"/>
          <w:b w:val="0"/>
          <w:bCs w:val="0"/>
        </w:rPr>
        <w:t>保险</w:t>
      </w:r>
      <w:bookmarkEnd w:id="0"/>
      <w:r>
        <w:rPr>
          <w:rFonts w:hint="eastAsia" w:ascii="仿宋" w:hAnsi="仿宋" w:eastAsia="仿宋" w:cs="仿宋"/>
          <w:b w:val="0"/>
          <w:bCs w:val="0"/>
        </w:rPr>
        <w:t xml:space="preserve">费、装卸费）及其它相关的费用。 </w:t>
      </w:r>
    </w:p>
    <w:p w14:paraId="42BFA8D2">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3、合同单价受市场价变化的影响，合同总价以实际供应天数确定。 </w:t>
      </w:r>
    </w:p>
    <w:p w14:paraId="40C0A23C">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4、合同结算</w:t>
      </w:r>
    </w:p>
    <w:p w14:paraId="14DC98B9">
      <w:pPr>
        <w:spacing w:line="360" w:lineRule="auto"/>
        <w:ind w:firstLine="420" w:firstLineChars="200"/>
        <w:rPr>
          <w:rFonts w:hint="eastAsia" w:ascii="仿宋" w:hAnsi="仿宋" w:eastAsia="仿宋" w:cs="仿宋"/>
          <w:b w:val="0"/>
          <w:bCs w:val="0"/>
          <w:szCs w:val="21"/>
        </w:rPr>
      </w:pPr>
      <w:r>
        <w:rPr>
          <w:rFonts w:hint="eastAsia" w:ascii="仿宋" w:hAnsi="仿宋" w:eastAsia="仿宋" w:cs="仿宋"/>
          <w:b w:val="0"/>
          <w:bCs w:val="0"/>
        </w:rPr>
        <w:t>4.1、结算方式：根据实际配送量据实结算，每两月向供应商付款。付款前，（乙方）卖方应及时向（甲方）买方提交送货清单、每月汇总表及正规发票，自收到付款材料之日起经教育局签字确认后，由各片区学校20 个日历日内以银行转账方式支付到（乙方）卖方指定的账户。</w:t>
      </w:r>
    </w:p>
    <w:p w14:paraId="7BB0496A">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4.2 货款支付单位为： </w:t>
      </w:r>
    </w:p>
    <w:p w14:paraId="1BBF38FB">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发票开具的“购货单位（人）名称”为： </w:t>
      </w:r>
    </w:p>
    <w:p w14:paraId="37B2ACCC">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三、交货条件: </w:t>
      </w:r>
    </w:p>
    <w:p w14:paraId="55F53F35">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1、交货地点：西安市临潼区教育局指定学校 </w:t>
      </w:r>
    </w:p>
    <w:p w14:paraId="7E3506C0">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2、服务期限：202</w:t>
      </w:r>
      <w:r>
        <w:rPr>
          <w:rFonts w:hint="eastAsia" w:ascii="仿宋" w:hAnsi="仿宋" w:eastAsia="仿宋" w:cs="仿宋"/>
          <w:b w:val="0"/>
          <w:bCs w:val="0"/>
          <w:lang w:val="en-US" w:eastAsia="zh-CN"/>
        </w:rPr>
        <w:t>5</w:t>
      </w:r>
      <w:r>
        <w:rPr>
          <w:rFonts w:hint="eastAsia" w:ascii="仿宋" w:hAnsi="仿宋" w:eastAsia="仿宋" w:cs="仿宋"/>
          <w:b w:val="0"/>
          <w:bCs w:val="0"/>
        </w:rPr>
        <w:t>-202</w:t>
      </w:r>
      <w:r>
        <w:rPr>
          <w:rFonts w:hint="eastAsia" w:ascii="仿宋" w:hAnsi="仿宋" w:eastAsia="仿宋" w:cs="仿宋"/>
          <w:b w:val="0"/>
          <w:bCs w:val="0"/>
          <w:lang w:val="en-US" w:eastAsia="zh-CN"/>
        </w:rPr>
        <w:t>6</w:t>
      </w:r>
      <w:r>
        <w:rPr>
          <w:rFonts w:hint="eastAsia" w:ascii="仿宋" w:hAnsi="仿宋" w:eastAsia="仿宋" w:cs="仿宋"/>
          <w:b w:val="0"/>
          <w:bCs w:val="0"/>
        </w:rPr>
        <w:t>学年度</w:t>
      </w:r>
    </w:p>
    <w:p w14:paraId="215CEDE2">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3、合同履行期限：采购人要求时间之前送至指定地点。</w:t>
      </w:r>
    </w:p>
    <w:p w14:paraId="75151D71">
      <w:pPr>
        <w:spacing w:line="360" w:lineRule="auto"/>
        <w:ind w:firstLine="420" w:firstLineChars="200"/>
        <w:rPr>
          <w:rFonts w:hint="eastAsia" w:ascii="仿宋" w:hAnsi="仿宋" w:eastAsia="仿宋" w:cs="仿宋"/>
          <w:b w:val="0"/>
          <w:bCs w:val="0"/>
          <w:lang w:val="en-US" w:eastAsia="zh-CN"/>
        </w:rPr>
      </w:pPr>
      <w:r>
        <w:rPr>
          <w:rFonts w:hint="eastAsia" w:ascii="仿宋" w:hAnsi="仿宋" w:eastAsia="仿宋" w:cs="仿宋"/>
          <w:b w:val="0"/>
          <w:bCs w:val="0"/>
          <w:lang w:val="en-US" w:eastAsia="zh-CN"/>
        </w:rPr>
        <w:t>4、供货要求：中标单位负责每次订单所有货物的运输、保险。</w:t>
      </w:r>
    </w:p>
    <w:p w14:paraId="72BB81A2">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四、质量保证 ：（1）产品包装必须适应货物特性和交通运输要求，以及国家有关标准或企业标准或合同要求。供应商应承担因包装、防护措施不妥引起的所有损失的责任和费用。 </w:t>
      </w:r>
    </w:p>
    <w:p w14:paraId="5F0E5CBB">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（2）因鸡蛋、肉质量问题引起的一切责任事故，均由供应商全权负责，采购人及配送学校不承担任何责任。</w:t>
      </w:r>
    </w:p>
    <w:p w14:paraId="6E6B1443">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 （3）供应商应当保证所供产品的来源渠道正常，产品符合国家质量标准及相关规定，并在质保期内因产品质量问题发生的食物中毒等事故，由供应商承担经济赔偿责任以及其他法律责任。 </w:t>
      </w:r>
    </w:p>
    <w:p w14:paraId="10D773B9">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（4）供应商应当明确售后服务公约, 供应商必须按照使用单位人员通知的时间、数量、品种、品质要求准时送货，经验收合格后签字确认，不能以任何理由推托，一旦影响到学生的正常生活，供应商应承担相应的经济赔偿。</w:t>
      </w:r>
    </w:p>
    <w:p w14:paraId="0ED37BA2">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（5）产品出现变质等质量问题，供应商应负责包退、包换，由供应商承担所发生的全部费用。 </w:t>
      </w:r>
    </w:p>
    <w:p w14:paraId="7E4FB973">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6）供应商应有符合卫生条件的储藏库房，车况良好、干净卫生的车辆配送，以保证食品安全运输到达采购人指定地点。每学期不少于一次对相关学校进行指导培训，并做好过程性文字和图片记录，做好日常食品安全指导教育和监督管理及服务工作。</w:t>
      </w:r>
    </w:p>
    <w:p w14:paraId="4075CB0E">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五、验收： </w:t>
      </w:r>
    </w:p>
    <w:p w14:paraId="55A682F1">
      <w:pPr>
        <w:spacing w:line="360" w:lineRule="auto"/>
        <w:ind w:firstLine="420" w:firstLineChars="200"/>
        <w:rPr>
          <w:rFonts w:hint="eastAsia" w:ascii="仿宋" w:hAnsi="仿宋" w:eastAsia="仿宋" w:cs="仿宋"/>
          <w:b w:val="0"/>
          <w:bCs w:val="0"/>
          <w:lang w:val="en-US" w:eastAsia="zh-CN"/>
        </w:rPr>
      </w:pPr>
      <w:r>
        <w:rPr>
          <w:rFonts w:hint="eastAsia" w:ascii="仿宋" w:hAnsi="仿宋" w:eastAsia="仿宋" w:cs="仿宋"/>
          <w:b w:val="0"/>
          <w:bCs w:val="0"/>
          <w:lang w:val="en-US" w:eastAsia="zh-CN"/>
        </w:rPr>
        <w:t>符合国家标准和技术规格书及合同要求，符合招标文件、中标供应商的投标文件、澄清文件和中标通知书的要求等,乙方应严格按照上述及采购人要求实施项目服务，甲方有权对服务质量进行评估，若服务评估结果不合格，乙方应负责无偿予以重测或采取补救措施，以达到质量要求。</w:t>
      </w:r>
    </w:p>
    <w:p w14:paraId="3DD7DE94">
      <w:pPr>
        <w:spacing w:line="360" w:lineRule="auto"/>
        <w:ind w:firstLine="420" w:firstLineChars="200"/>
        <w:rPr>
          <w:rFonts w:hint="eastAsia" w:ascii="仿宋" w:hAnsi="仿宋" w:eastAsia="仿宋" w:cs="仿宋"/>
          <w:b w:val="0"/>
          <w:bCs w:val="0"/>
          <w:lang w:val="en-US" w:eastAsia="zh-CN"/>
        </w:rPr>
      </w:pPr>
      <w:r>
        <w:rPr>
          <w:rFonts w:hint="eastAsia" w:ascii="仿宋" w:hAnsi="仿宋" w:eastAsia="仿宋" w:cs="仿宋"/>
          <w:b w:val="0"/>
          <w:bCs w:val="0"/>
          <w:lang w:val="en-US" w:eastAsia="zh-CN"/>
        </w:rPr>
        <w:t>若返工后还无法通过验收，甲方有权单方解除合同，并追回所付项目款。</w:t>
      </w:r>
    </w:p>
    <w:p w14:paraId="7C7D3698">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六、双方权利和义务 </w:t>
      </w:r>
    </w:p>
    <w:p w14:paraId="5AE871BE">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（一）买方的权利和义务 </w:t>
      </w:r>
    </w:p>
    <w:p w14:paraId="1B3A7851">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1、买方有权利要求卖方出示所采购产品（大米、小麦粉、食用油）的质检报告或买方有权利对卖方所供货物进行另行抽检。 </w:t>
      </w:r>
    </w:p>
    <w:p w14:paraId="31FA8B40">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2、买方有权利拒绝接受非买方采购产品。</w:t>
      </w:r>
    </w:p>
    <w:p w14:paraId="251D02CE">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3、买方有权利对卖方所供产品包装破损的产品提出异议或拒绝接受。 </w:t>
      </w:r>
    </w:p>
    <w:p w14:paraId="03E4C1F8">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4、买方有权利对卖方的服务进行监督和评判。 </w:t>
      </w:r>
    </w:p>
    <w:p w14:paraId="6972B6A8">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5、买方有义务对卖方所供货物进行规范储存。 </w:t>
      </w:r>
    </w:p>
    <w:p w14:paraId="34935FEF">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6、买方有义务配合卖方对卖方所供产品的流向进行监控，不得出现流入非本渠道现象，更不能出现售卖等现象。 </w:t>
      </w:r>
    </w:p>
    <w:p w14:paraId="0B584FC2">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7、在供货业务运行过程中出现时间、地点、人员变化等现象，买方有义务事先通告卖方并配合卖方完成后续交接等事宜。 </w:t>
      </w:r>
    </w:p>
    <w:p w14:paraId="47AD9AD4">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8、买方有义务配合卖方缩减交接货物环节的流程及时间。 </w:t>
      </w:r>
    </w:p>
    <w:p w14:paraId="3EB5F2F6">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9、买方有义务配合卖方处理完善双方合作中的突发事件。 </w:t>
      </w:r>
    </w:p>
    <w:p w14:paraId="0CA1C269">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10、买方有义务配合卖方做一些关于食用产品知识的宣传工作。 </w:t>
      </w:r>
    </w:p>
    <w:p w14:paraId="3622A4CA">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11、买方有权利对卖方提供的货物进行不定期抽查。 </w:t>
      </w:r>
    </w:p>
    <w:p w14:paraId="7343A96B">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（二）卖方的权利和义务 </w:t>
      </w:r>
    </w:p>
    <w:p w14:paraId="76028123">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1、卖方有义务向买方提供按标签标注质量标注合格的产品，并向买方提供销售所需的“三证”及相关资料。 </w:t>
      </w:r>
    </w:p>
    <w:p w14:paraId="1D61C5BE">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2、卖方保证价格不变。 </w:t>
      </w:r>
    </w:p>
    <w:p w14:paraId="36412B09">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3、卖方保证向买方所供货完整无损。 </w:t>
      </w:r>
    </w:p>
    <w:p w14:paraId="3F0DBDD0">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4、在同等条件下，买方应优先选用卖方的产品。 </w:t>
      </w:r>
    </w:p>
    <w:p w14:paraId="1358EEA8">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5、卖方在按相关规定送货到位后，买方应及时接收并出具规定的接货证明，本企业有权监督避免拖延时间或无人接货等现象的出现。 </w:t>
      </w:r>
    </w:p>
    <w:p w14:paraId="0D110D1B">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6、卖方有义务对所供学校的师生进行产品知识及食用产品知识的培训。 </w:t>
      </w:r>
    </w:p>
    <w:p w14:paraId="78E5EA30">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7、卖方有义务对所供学校提供每单品一包的留样产品（送到每个学校留样 1 份）。 </w:t>
      </w:r>
    </w:p>
    <w:p w14:paraId="682856EE">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七、合同实施：</w:t>
      </w:r>
    </w:p>
    <w:p w14:paraId="7A3BD354">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（1）中标人应在合同签订后 7 个日历日内安排人员与采购方就送货等工作进行安排。 </w:t>
      </w:r>
    </w:p>
    <w:p w14:paraId="04A01348">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（2）若未能在交货期内完成合同规定的义务，由此对采购人造成的延误和一切损失，由中标人承担和赔偿。 </w:t>
      </w:r>
    </w:p>
    <w:p w14:paraId="2CC25628">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lang w:val="en-US" w:eastAsia="zh-CN"/>
        </w:rPr>
        <w:t>八</w:t>
      </w:r>
      <w:r>
        <w:rPr>
          <w:rFonts w:hint="eastAsia" w:ascii="仿宋" w:hAnsi="仿宋" w:eastAsia="仿宋" w:cs="仿宋"/>
          <w:b w:val="0"/>
          <w:bCs w:val="0"/>
        </w:rPr>
        <w:t xml:space="preserve">、违约责任 </w:t>
      </w:r>
    </w:p>
    <w:p w14:paraId="76D3B5D1">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1）按《中华人民共和国民法典》中的相关条款执行。</w:t>
      </w:r>
    </w:p>
    <w:p w14:paraId="3EE94DD1">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2）未按合同要求提供货物质量不能满足技术要求，采购人有权终止合同， 并对供方违约行为进行追究，同时按《中华人民共和国政府采购法》、《中华人民共和国民法典》等有关规定进行处罚。</w:t>
      </w:r>
    </w:p>
    <w:p w14:paraId="44F8F956">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lang w:val="en-US" w:eastAsia="zh-CN"/>
        </w:rPr>
        <w:t>九</w:t>
      </w:r>
      <w:r>
        <w:rPr>
          <w:rFonts w:hint="eastAsia" w:ascii="仿宋" w:hAnsi="仿宋" w:eastAsia="仿宋" w:cs="仿宋"/>
          <w:b w:val="0"/>
          <w:bCs w:val="0"/>
        </w:rPr>
        <w:t>、合同争议解决的方式</w:t>
      </w:r>
    </w:p>
    <w:p w14:paraId="19CF651E">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本合同在履行过程中发生的争议，由买卖双方当事人协商解决，协商不成的提交当地仲裁委员会仲裁。 </w:t>
      </w:r>
    </w:p>
    <w:p w14:paraId="711EF2B5">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lang w:val="en-US" w:eastAsia="zh-CN"/>
        </w:rPr>
        <w:t>十</w:t>
      </w:r>
      <w:r>
        <w:rPr>
          <w:rFonts w:hint="eastAsia" w:ascii="仿宋" w:hAnsi="仿宋" w:eastAsia="仿宋" w:cs="仿宋"/>
          <w:b w:val="0"/>
          <w:bCs w:val="0"/>
        </w:rPr>
        <w:t xml:space="preserve">、合同组成 </w:t>
      </w:r>
    </w:p>
    <w:p w14:paraId="18280725">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1、中标通知书 </w:t>
      </w:r>
    </w:p>
    <w:p w14:paraId="2FD259B5">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2、合同文件 </w:t>
      </w:r>
    </w:p>
    <w:p w14:paraId="366BC761">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3、国家相关规范及标准 </w:t>
      </w:r>
    </w:p>
    <w:p w14:paraId="79550BFC">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4、招标文件 </w:t>
      </w:r>
    </w:p>
    <w:p w14:paraId="4E9EC95A">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5、投标文件 </w:t>
      </w:r>
    </w:p>
    <w:p w14:paraId="044D9EC8">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十</w:t>
      </w:r>
      <w:r>
        <w:rPr>
          <w:rFonts w:hint="eastAsia" w:ascii="仿宋" w:hAnsi="仿宋" w:eastAsia="仿宋" w:cs="仿宋"/>
          <w:b w:val="0"/>
          <w:bCs w:val="0"/>
          <w:lang w:val="en-US" w:eastAsia="zh-CN"/>
        </w:rPr>
        <w:t>一</w:t>
      </w:r>
      <w:r>
        <w:rPr>
          <w:rFonts w:hint="eastAsia" w:ascii="仿宋" w:hAnsi="仿宋" w:eastAsia="仿宋" w:cs="仿宋"/>
          <w:b w:val="0"/>
          <w:bCs w:val="0"/>
        </w:rPr>
        <w:t xml:space="preserve">、合同生效及其它 </w:t>
      </w:r>
    </w:p>
    <w:p w14:paraId="2D0BA6B9">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1、合同未尽事宜、由买、卖双方协商，作为合同补充，与原合同具有同等法律效力。 </w:t>
      </w:r>
    </w:p>
    <w:p w14:paraId="1D9A5FEB">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2、本合同正本一式    份，买卖双方分别执   份，监督部门备案   份。 </w:t>
      </w:r>
    </w:p>
    <w:p w14:paraId="02C88143">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3、合同经买卖双方共同签字盖章之日起生效，合同签订地点为      。 </w:t>
      </w:r>
    </w:p>
    <w:p w14:paraId="7B088071">
      <w:pPr>
        <w:spacing w:line="440" w:lineRule="exact"/>
        <w:ind w:firstLine="420" w:firstLineChars="200"/>
        <w:rPr>
          <w:rFonts w:hint="eastAsia" w:ascii="仿宋" w:hAnsi="仿宋" w:eastAsia="仿宋" w:cs="仿宋"/>
          <w:b w:val="0"/>
          <w:bCs w:val="0"/>
        </w:rPr>
      </w:pPr>
      <w:r>
        <w:rPr>
          <w:rFonts w:hint="eastAsia" w:ascii="仿宋" w:hAnsi="仿宋" w:eastAsia="仿宋" w:cs="仿宋"/>
          <w:b w:val="0"/>
          <w:bCs w:val="0"/>
        </w:rPr>
        <w:t xml:space="preserve">4、生效时间：  年   月   日。 </w:t>
      </w:r>
    </w:p>
    <w:p w14:paraId="2540AF2F">
      <w:pPr>
        <w:spacing w:line="360" w:lineRule="auto"/>
        <w:ind w:firstLine="420" w:firstLineChars="200"/>
        <w:rPr>
          <w:rFonts w:hint="eastAsia" w:ascii="仿宋" w:hAnsi="仿宋" w:eastAsia="仿宋" w:cs="仿宋"/>
          <w:b w:val="0"/>
          <w:bCs w:val="0"/>
        </w:rPr>
      </w:pPr>
    </w:p>
    <w:tbl>
      <w:tblPr>
        <w:tblStyle w:val="5"/>
        <w:tblW w:w="0" w:type="auto"/>
        <w:tblInd w:w="0" w:type="dxa"/>
        <w:tblLayout w:type="autofit"/>
        <w:tblCellMar>
          <w:top w:w="0" w:type="dxa"/>
          <w:left w:w="108" w:type="dxa"/>
          <w:bottom w:w="0" w:type="dxa"/>
          <w:right w:w="108" w:type="dxa"/>
        </w:tblCellMar>
      </w:tblPr>
      <w:tblGrid>
        <w:gridCol w:w="4261"/>
        <w:gridCol w:w="4261"/>
      </w:tblGrid>
      <w:tr w14:paraId="1118E703">
        <w:tblPrEx>
          <w:tblCellMar>
            <w:top w:w="0" w:type="dxa"/>
            <w:left w:w="108" w:type="dxa"/>
            <w:bottom w:w="0" w:type="dxa"/>
            <w:right w:w="108" w:type="dxa"/>
          </w:tblCellMar>
        </w:tblPrEx>
        <w:trPr>
          <w:trHeight w:val="367" w:hRule="atLeast"/>
        </w:trPr>
        <w:tc>
          <w:tcPr>
            <w:tcW w:w="4469" w:type="dxa"/>
            <w:noWrap w:val="0"/>
            <w:vAlign w:val="top"/>
          </w:tcPr>
          <w:p w14:paraId="704D4998">
            <w:pPr>
              <w:spacing w:line="360" w:lineRule="auto"/>
              <w:rPr>
                <w:rFonts w:hint="eastAsia" w:ascii="仿宋" w:hAnsi="仿宋" w:eastAsia="仿宋" w:cs="仿宋"/>
                <w:b w:val="0"/>
                <w:bCs w:val="0"/>
              </w:rPr>
            </w:pPr>
            <w:r>
              <w:rPr>
                <w:rFonts w:hint="eastAsia" w:ascii="仿宋" w:hAnsi="仿宋" w:eastAsia="仿宋" w:cs="仿宋"/>
                <w:b w:val="0"/>
                <w:bCs w:val="0"/>
              </w:rPr>
              <w:t xml:space="preserve">买方名称：西安市临潼区教育局（公章） </w:t>
            </w:r>
          </w:p>
        </w:tc>
        <w:tc>
          <w:tcPr>
            <w:tcW w:w="4470" w:type="dxa"/>
            <w:noWrap w:val="0"/>
            <w:vAlign w:val="top"/>
          </w:tcPr>
          <w:p w14:paraId="32D3B7D2">
            <w:pPr>
              <w:spacing w:line="360" w:lineRule="auto"/>
              <w:rPr>
                <w:rFonts w:hint="eastAsia" w:ascii="仿宋" w:hAnsi="仿宋" w:eastAsia="仿宋" w:cs="仿宋"/>
                <w:b w:val="0"/>
                <w:bCs w:val="0"/>
              </w:rPr>
            </w:pPr>
            <w:r>
              <w:rPr>
                <w:rFonts w:hint="eastAsia" w:ascii="仿宋" w:hAnsi="仿宋" w:eastAsia="仿宋" w:cs="仿宋"/>
                <w:b w:val="0"/>
                <w:bCs w:val="0"/>
              </w:rPr>
              <w:t xml:space="preserve">卖方名称：（公章） </w:t>
            </w:r>
          </w:p>
        </w:tc>
      </w:tr>
      <w:tr w14:paraId="3962CFE7">
        <w:tblPrEx>
          <w:tblCellMar>
            <w:top w:w="0" w:type="dxa"/>
            <w:left w:w="108" w:type="dxa"/>
            <w:bottom w:w="0" w:type="dxa"/>
            <w:right w:w="108" w:type="dxa"/>
          </w:tblCellMar>
        </w:tblPrEx>
        <w:trPr>
          <w:trHeight w:val="367" w:hRule="atLeast"/>
        </w:trPr>
        <w:tc>
          <w:tcPr>
            <w:tcW w:w="4469" w:type="dxa"/>
            <w:noWrap w:val="0"/>
            <w:vAlign w:val="top"/>
          </w:tcPr>
          <w:p w14:paraId="735A8B5B">
            <w:pPr>
              <w:spacing w:line="360" w:lineRule="auto"/>
              <w:rPr>
                <w:rFonts w:hint="eastAsia" w:ascii="仿宋" w:hAnsi="仿宋" w:eastAsia="仿宋" w:cs="仿宋"/>
                <w:b w:val="0"/>
                <w:bCs w:val="0"/>
              </w:rPr>
            </w:pPr>
            <w:r>
              <w:rPr>
                <w:rFonts w:hint="eastAsia" w:ascii="仿宋" w:hAnsi="仿宋" w:eastAsia="仿宋" w:cs="仿宋"/>
                <w:b w:val="0"/>
                <w:bCs w:val="0"/>
              </w:rPr>
              <w:t xml:space="preserve">地 址：临潼区人民东路55号 </w:t>
            </w:r>
          </w:p>
        </w:tc>
        <w:tc>
          <w:tcPr>
            <w:tcW w:w="4470" w:type="dxa"/>
            <w:noWrap w:val="0"/>
            <w:vAlign w:val="top"/>
          </w:tcPr>
          <w:p w14:paraId="554941A2">
            <w:pPr>
              <w:spacing w:line="360" w:lineRule="auto"/>
              <w:rPr>
                <w:rFonts w:hint="eastAsia" w:ascii="仿宋" w:hAnsi="仿宋" w:eastAsia="仿宋" w:cs="仿宋"/>
                <w:b w:val="0"/>
                <w:bCs w:val="0"/>
              </w:rPr>
            </w:pPr>
            <w:r>
              <w:rPr>
                <w:rFonts w:hint="eastAsia" w:ascii="仿宋" w:hAnsi="仿宋" w:eastAsia="仿宋" w:cs="仿宋"/>
                <w:b w:val="0"/>
                <w:bCs w:val="0"/>
              </w:rPr>
              <w:t xml:space="preserve">地 址： </w:t>
            </w:r>
          </w:p>
        </w:tc>
      </w:tr>
      <w:tr w14:paraId="1C4FCDA9">
        <w:tblPrEx>
          <w:tblCellMar>
            <w:top w:w="0" w:type="dxa"/>
            <w:left w:w="108" w:type="dxa"/>
            <w:bottom w:w="0" w:type="dxa"/>
            <w:right w:w="108" w:type="dxa"/>
          </w:tblCellMar>
        </w:tblPrEx>
        <w:trPr>
          <w:trHeight w:val="367" w:hRule="atLeast"/>
        </w:trPr>
        <w:tc>
          <w:tcPr>
            <w:tcW w:w="4469" w:type="dxa"/>
            <w:noWrap w:val="0"/>
            <w:vAlign w:val="top"/>
          </w:tcPr>
          <w:p w14:paraId="504B30C7">
            <w:pPr>
              <w:spacing w:line="360" w:lineRule="auto"/>
              <w:rPr>
                <w:rFonts w:hint="eastAsia" w:ascii="仿宋" w:hAnsi="仿宋" w:eastAsia="仿宋" w:cs="仿宋"/>
                <w:b w:val="0"/>
                <w:bCs w:val="0"/>
              </w:rPr>
            </w:pPr>
            <w:r>
              <w:rPr>
                <w:rFonts w:hint="eastAsia" w:ascii="仿宋" w:hAnsi="仿宋" w:eastAsia="仿宋" w:cs="仿宋"/>
                <w:b w:val="0"/>
                <w:bCs w:val="0"/>
              </w:rPr>
              <w:t xml:space="preserve">邮 编： </w:t>
            </w:r>
          </w:p>
        </w:tc>
        <w:tc>
          <w:tcPr>
            <w:tcW w:w="4470" w:type="dxa"/>
            <w:noWrap w:val="0"/>
            <w:vAlign w:val="top"/>
          </w:tcPr>
          <w:p w14:paraId="440E2C82">
            <w:pPr>
              <w:spacing w:line="360" w:lineRule="auto"/>
              <w:rPr>
                <w:rFonts w:hint="eastAsia" w:ascii="仿宋" w:hAnsi="仿宋" w:eastAsia="仿宋" w:cs="仿宋"/>
                <w:b w:val="0"/>
                <w:bCs w:val="0"/>
              </w:rPr>
            </w:pPr>
            <w:r>
              <w:rPr>
                <w:rFonts w:hint="eastAsia" w:ascii="仿宋" w:hAnsi="仿宋" w:eastAsia="仿宋" w:cs="仿宋"/>
                <w:b w:val="0"/>
                <w:bCs w:val="0"/>
              </w:rPr>
              <w:t xml:space="preserve">邮 编： </w:t>
            </w:r>
          </w:p>
        </w:tc>
      </w:tr>
      <w:tr w14:paraId="6B89D599">
        <w:tblPrEx>
          <w:tblCellMar>
            <w:top w:w="0" w:type="dxa"/>
            <w:left w:w="108" w:type="dxa"/>
            <w:bottom w:w="0" w:type="dxa"/>
            <w:right w:w="108" w:type="dxa"/>
          </w:tblCellMar>
        </w:tblPrEx>
        <w:trPr>
          <w:trHeight w:val="367" w:hRule="atLeast"/>
        </w:trPr>
        <w:tc>
          <w:tcPr>
            <w:tcW w:w="4469" w:type="dxa"/>
            <w:noWrap w:val="0"/>
            <w:vAlign w:val="top"/>
          </w:tcPr>
          <w:p w14:paraId="0F324DBC">
            <w:pPr>
              <w:spacing w:line="360" w:lineRule="auto"/>
              <w:rPr>
                <w:rFonts w:hint="eastAsia" w:ascii="仿宋" w:hAnsi="仿宋" w:eastAsia="仿宋" w:cs="仿宋"/>
                <w:b w:val="0"/>
                <w:bCs w:val="0"/>
              </w:rPr>
            </w:pPr>
            <w:r>
              <w:rPr>
                <w:rFonts w:hint="eastAsia" w:ascii="仿宋" w:hAnsi="仿宋" w:eastAsia="仿宋" w:cs="仿宋"/>
                <w:b w:val="0"/>
                <w:bCs w:val="0"/>
              </w:rPr>
              <w:t xml:space="preserve">电 话： </w:t>
            </w:r>
          </w:p>
        </w:tc>
        <w:tc>
          <w:tcPr>
            <w:tcW w:w="4470" w:type="dxa"/>
            <w:noWrap w:val="0"/>
            <w:vAlign w:val="top"/>
          </w:tcPr>
          <w:p w14:paraId="53D03DC7">
            <w:pPr>
              <w:spacing w:line="360" w:lineRule="auto"/>
              <w:rPr>
                <w:rFonts w:hint="eastAsia" w:ascii="仿宋" w:hAnsi="仿宋" w:eastAsia="仿宋" w:cs="仿宋"/>
                <w:b w:val="0"/>
                <w:bCs w:val="0"/>
              </w:rPr>
            </w:pPr>
            <w:r>
              <w:rPr>
                <w:rFonts w:hint="eastAsia" w:ascii="仿宋" w:hAnsi="仿宋" w:eastAsia="仿宋" w:cs="仿宋"/>
                <w:b w:val="0"/>
                <w:bCs w:val="0"/>
              </w:rPr>
              <w:t xml:space="preserve">电 话： </w:t>
            </w:r>
          </w:p>
        </w:tc>
      </w:tr>
      <w:tr w14:paraId="5927E3CD">
        <w:tblPrEx>
          <w:tblCellMar>
            <w:top w:w="0" w:type="dxa"/>
            <w:left w:w="108" w:type="dxa"/>
            <w:bottom w:w="0" w:type="dxa"/>
            <w:right w:w="108" w:type="dxa"/>
          </w:tblCellMar>
        </w:tblPrEx>
        <w:trPr>
          <w:trHeight w:val="367" w:hRule="atLeast"/>
        </w:trPr>
        <w:tc>
          <w:tcPr>
            <w:tcW w:w="4469" w:type="dxa"/>
            <w:noWrap w:val="0"/>
            <w:vAlign w:val="top"/>
          </w:tcPr>
          <w:p w14:paraId="614D9CC0">
            <w:pPr>
              <w:spacing w:line="360" w:lineRule="auto"/>
              <w:rPr>
                <w:rFonts w:hint="eastAsia" w:ascii="仿宋" w:hAnsi="仿宋" w:eastAsia="仿宋" w:cs="仿宋"/>
                <w:b w:val="0"/>
                <w:bCs w:val="0"/>
              </w:rPr>
            </w:pPr>
            <w:r>
              <w:rPr>
                <w:rFonts w:hint="eastAsia" w:ascii="仿宋" w:hAnsi="仿宋" w:eastAsia="仿宋" w:cs="仿宋"/>
                <w:b w:val="0"/>
                <w:bCs w:val="0"/>
              </w:rPr>
              <w:t xml:space="preserve">传 真： </w:t>
            </w:r>
          </w:p>
        </w:tc>
        <w:tc>
          <w:tcPr>
            <w:tcW w:w="4470" w:type="dxa"/>
            <w:noWrap w:val="0"/>
            <w:vAlign w:val="top"/>
          </w:tcPr>
          <w:p w14:paraId="150F8078">
            <w:pPr>
              <w:spacing w:line="360" w:lineRule="auto"/>
              <w:rPr>
                <w:rFonts w:hint="eastAsia" w:ascii="仿宋" w:hAnsi="仿宋" w:eastAsia="仿宋" w:cs="仿宋"/>
                <w:b w:val="0"/>
                <w:bCs w:val="0"/>
              </w:rPr>
            </w:pPr>
            <w:r>
              <w:rPr>
                <w:rFonts w:hint="eastAsia" w:ascii="仿宋" w:hAnsi="仿宋" w:eastAsia="仿宋" w:cs="仿宋"/>
                <w:b w:val="0"/>
                <w:bCs w:val="0"/>
              </w:rPr>
              <w:t xml:space="preserve">传 真： </w:t>
            </w:r>
          </w:p>
        </w:tc>
      </w:tr>
      <w:tr w14:paraId="39B7AFBC">
        <w:tblPrEx>
          <w:tblCellMar>
            <w:top w:w="0" w:type="dxa"/>
            <w:left w:w="108" w:type="dxa"/>
            <w:bottom w:w="0" w:type="dxa"/>
            <w:right w:w="108" w:type="dxa"/>
          </w:tblCellMar>
        </w:tblPrEx>
        <w:trPr>
          <w:trHeight w:val="367" w:hRule="atLeast"/>
        </w:trPr>
        <w:tc>
          <w:tcPr>
            <w:tcW w:w="4469" w:type="dxa"/>
            <w:noWrap w:val="0"/>
            <w:vAlign w:val="top"/>
          </w:tcPr>
          <w:p w14:paraId="76412E66">
            <w:pPr>
              <w:spacing w:line="360" w:lineRule="auto"/>
              <w:rPr>
                <w:rFonts w:hint="eastAsia" w:ascii="仿宋" w:hAnsi="仿宋" w:eastAsia="仿宋" w:cs="仿宋"/>
                <w:b w:val="0"/>
                <w:bCs w:val="0"/>
              </w:rPr>
            </w:pPr>
          </w:p>
        </w:tc>
        <w:tc>
          <w:tcPr>
            <w:tcW w:w="4470" w:type="dxa"/>
            <w:noWrap w:val="0"/>
            <w:vAlign w:val="top"/>
          </w:tcPr>
          <w:p w14:paraId="0778E0AB">
            <w:pPr>
              <w:spacing w:line="360" w:lineRule="auto"/>
              <w:rPr>
                <w:rFonts w:hint="eastAsia" w:ascii="仿宋" w:hAnsi="仿宋" w:eastAsia="仿宋" w:cs="仿宋"/>
                <w:b w:val="0"/>
                <w:bCs w:val="0"/>
              </w:rPr>
            </w:pPr>
            <w:r>
              <w:rPr>
                <w:rFonts w:hint="eastAsia" w:ascii="仿宋" w:hAnsi="仿宋" w:eastAsia="仿宋" w:cs="仿宋"/>
                <w:b w:val="0"/>
                <w:bCs w:val="0"/>
              </w:rPr>
              <w:t xml:space="preserve">开户银行： </w:t>
            </w:r>
          </w:p>
        </w:tc>
      </w:tr>
      <w:tr w14:paraId="294EAB57">
        <w:tblPrEx>
          <w:tblCellMar>
            <w:top w:w="0" w:type="dxa"/>
            <w:left w:w="108" w:type="dxa"/>
            <w:bottom w:w="0" w:type="dxa"/>
            <w:right w:w="108" w:type="dxa"/>
          </w:tblCellMar>
        </w:tblPrEx>
        <w:trPr>
          <w:trHeight w:val="367" w:hRule="atLeast"/>
        </w:trPr>
        <w:tc>
          <w:tcPr>
            <w:tcW w:w="4469" w:type="dxa"/>
            <w:noWrap w:val="0"/>
            <w:vAlign w:val="top"/>
          </w:tcPr>
          <w:p w14:paraId="4B4ECCCB">
            <w:pPr>
              <w:spacing w:line="360" w:lineRule="auto"/>
              <w:rPr>
                <w:rFonts w:hint="eastAsia" w:ascii="仿宋" w:hAnsi="仿宋" w:eastAsia="仿宋" w:cs="仿宋"/>
                <w:b w:val="0"/>
                <w:bCs w:val="0"/>
              </w:rPr>
            </w:pPr>
          </w:p>
        </w:tc>
        <w:tc>
          <w:tcPr>
            <w:tcW w:w="4470" w:type="dxa"/>
            <w:noWrap w:val="0"/>
            <w:vAlign w:val="top"/>
          </w:tcPr>
          <w:p w14:paraId="110CB9D2">
            <w:pPr>
              <w:spacing w:line="360" w:lineRule="auto"/>
              <w:rPr>
                <w:rFonts w:hint="eastAsia" w:ascii="仿宋" w:hAnsi="仿宋" w:eastAsia="仿宋" w:cs="仿宋"/>
                <w:b w:val="0"/>
                <w:bCs w:val="0"/>
              </w:rPr>
            </w:pPr>
            <w:r>
              <w:rPr>
                <w:rFonts w:hint="eastAsia" w:ascii="仿宋" w:hAnsi="仿宋" w:eastAsia="仿宋" w:cs="仿宋"/>
                <w:b w:val="0"/>
                <w:bCs w:val="0"/>
              </w:rPr>
              <w:t xml:space="preserve">帐 号： </w:t>
            </w:r>
          </w:p>
        </w:tc>
      </w:tr>
      <w:tr w14:paraId="32E9FAC6">
        <w:tblPrEx>
          <w:tblCellMar>
            <w:top w:w="0" w:type="dxa"/>
            <w:left w:w="108" w:type="dxa"/>
            <w:bottom w:w="0" w:type="dxa"/>
            <w:right w:w="108" w:type="dxa"/>
          </w:tblCellMar>
        </w:tblPrEx>
        <w:trPr>
          <w:trHeight w:val="367" w:hRule="atLeast"/>
        </w:trPr>
        <w:tc>
          <w:tcPr>
            <w:tcW w:w="4469" w:type="dxa"/>
            <w:noWrap w:val="0"/>
            <w:vAlign w:val="top"/>
          </w:tcPr>
          <w:p w14:paraId="10485561">
            <w:pPr>
              <w:spacing w:line="360" w:lineRule="auto"/>
              <w:rPr>
                <w:rFonts w:hint="eastAsia" w:ascii="仿宋" w:hAnsi="仿宋" w:eastAsia="仿宋" w:cs="仿宋"/>
                <w:b w:val="0"/>
                <w:bCs w:val="0"/>
              </w:rPr>
            </w:pPr>
            <w:r>
              <w:rPr>
                <w:rFonts w:hint="eastAsia" w:ascii="仿宋" w:hAnsi="仿宋" w:eastAsia="仿宋" w:cs="仿宋"/>
                <w:b w:val="0"/>
                <w:bCs w:val="0"/>
              </w:rPr>
              <w:t xml:space="preserve">代表签字： </w:t>
            </w:r>
          </w:p>
        </w:tc>
        <w:tc>
          <w:tcPr>
            <w:tcW w:w="4470" w:type="dxa"/>
            <w:noWrap w:val="0"/>
            <w:vAlign w:val="top"/>
          </w:tcPr>
          <w:p w14:paraId="4B3F7DF7">
            <w:pPr>
              <w:spacing w:line="360" w:lineRule="auto"/>
              <w:rPr>
                <w:rFonts w:hint="eastAsia" w:ascii="仿宋" w:hAnsi="仿宋" w:eastAsia="仿宋" w:cs="仿宋"/>
                <w:b w:val="0"/>
                <w:bCs w:val="0"/>
              </w:rPr>
            </w:pPr>
            <w:r>
              <w:rPr>
                <w:rFonts w:hint="eastAsia" w:ascii="仿宋" w:hAnsi="仿宋" w:eastAsia="仿宋" w:cs="仿宋"/>
                <w:b w:val="0"/>
                <w:bCs w:val="0"/>
              </w:rPr>
              <w:t xml:space="preserve">代表签字： </w:t>
            </w:r>
          </w:p>
        </w:tc>
      </w:tr>
      <w:tr w14:paraId="1C0332FF">
        <w:tblPrEx>
          <w:tblCellMar>
            <w:top w:w="0" w:type="dxa"/>
            <w:left w:w="108" w:type="dxa"/>
            <w:bottom w:w="0" w:type="dxa"/>
            <w:right w:w="108" w:type="dxa"/>
          </w:tblCellMar>
        </w:tblPrEx>
        <w:trPr>
          <w:trHeight w:val="367" w:hRule="atLeast"/>
        </w:trPr>
        <w:tc>
          <w:tcPr>
            <w:tcW w:w="4469" w:type="dxa"/>
            <w:noWrap w:val="0"/>
            <w:vAlign w:val="top"/>
          </w:tcPr>
          <w:p w14:paraId="43DAE6D0">
            <w:pPr>
              <w:spacing w:line="360" w:lineRule="auto"/>
              <w:rPr>
                <w:rFonts w:hint="eastAsia" w:ascii="仿宋" w:hAnsi="仿宋" w:eastAsia="仿宋" w:cs="仿宋"/>
                <w:b w:val="0"/>
                <w:bCs w:val="0"/>
              </w:rPr>
            </w:pPr>
            <w:r>
              <w:rPr>
                <w:rFonts w:hint="eastAsia" w:ascii="仿宋" w:hAnsi="仿宋" w:eastAsia="仿宋" w:cs="仿宋"/>
                <w:b w:val="0"/>
                <w:bCs w:val="0"/>
              </w:rPr>
              <w:t>日 期：   年    月    日</w:t>
            </w:r>
          </w:p>
        </w:tc>
        <w:tc>
          <w:tcPr>
            <w:tcW w:w="4470" w:type="dxa"/>
            <w:noWrap w:val="0"/>
            <w:vAlign w:val="top"/>
          </w:tcPr>
          <w:p w14:paraId="535B92F5">
            <w:pPr>
              <w:spacing w:line="360" w:lineRule="auto"/>
              <w:rPr>
                <w:rFonts w:hint="eastAsia" w:ascii="仿宋" w:hAnsi="仿宋" w:eastAsia="仿宋" w:cs="仿宋"/>
                <w:b w:val="0"/>
                <w:bCs w:val="0"/>
              </w:rPr>
            </w:pPr>
            <w:r>
              <w:rPr>
                <w:rFonts w:hint="eastAsia" w:ascii="仿宋" w:hAnsi="仿宋" w:eastAsia="仿宋" w:cs="仿宋"/>
                <w:b w:val="0"/>
                <w:bCs w:val="0"/>
              </w:rPr>
              <w:t>日 期：   年    月    日</w:t>
            </w:r>
          </w:p>
        </w:tc>
      </w:tr>
    </w:tbl>
    <w:p w14:paraId="6418096B"/>
    <w:p w14:paraId="2C5E449F">
      <w:r>
        <w:br w:type="page"/>
      </w:r>
    </w:p>
    <w:p w14:paraId="4E24F007">
      <w:pPr>
        <w:pStyle w:val="3"/>
        <w:outlineLvl w:val="0"/>
        <w:rPr>
          <w:rFonts w:hint="eastAsia" w:ascii="仿宋" w:hAnsi="仿宋" w:eastAsia="仿宋" w:cs="仿宋"/>
          <w:b w:val="0"/>
          <w:bCs w:val="0"/>
          <w:sz w:val="28"/>
          <w:szCs w:val="28"/>
        </w:rPr>
      </w:pPr>
      <w:r>
        <w:rPr>
          <w:rFonts w:hint="eastAsia" w:ascii="仿宋" w:hAnsi="仿宋" w:eastAsia="仿宋" w:cs="仿宋"/>
          <w:b w:val="0"/>
          <w:bCs w:val="0"/>
          <w:sz w:val="28"/>
          <w:szCs w:val="28"/>
        </w:rPr>
        <w:t>包</w:t>
      </w:r>
      <w:r>
        <w:rPr>
          <w:rFonts w:hint="eastAsia" w:ascii="仿宋" w:hAnsi="仿宋" w:eastAsia="仿宋" w:cs="仿宋"/>
          <w:b w:val="0"/>
          <w:bCs w:val="0"/>
          <w:sz w:val="28"/>
          <w:szCs w:val="28"/>
          <w:lang w:val="en-US" w:eastAsia="zh-CN"/>
        </w:rPr>
        <w:t>9、10</w:t>
      </w:r>
      <w:r>
        <w:rPr>
          <w:rFonts w:hint="eastAsia" w:ascii="仿宋" w:hAnsi="仿宋" w:eastAsia="仿宋" w:cs="仿宋"/>
          <w:b w:val="0"/>
          <w:bCs w:val="0"/>
          <w:sz w:val="28"/>
          <w:szCs w:val="28"/>
        </w:rPr>
        <w:t>合同条款及格式</w:t>
      </w:r>
    </w:p>
    <w:p w14:paraId="3E5AADE4">
      <w:pPr>
        <w:pStyle w:val="3"/>
        <w:rPr>
          <w:rFonts w:hint="eastAsia" w:ascii="仿宋" w:hAnsi="仿宋" w:eastAsia="仿宋" w:cs="仿宋"/>
          <w:b w:val="0"/>
          <w:bCs w:val="0"/>
          <w:szCs w:val="21"/>
        </w:rPr>
      </w:pPr>
      <w:r>
        <w:rPr>
          <w:rFonts w:hint="eastAsia" w:ascii="仿宋" w:hAnsi="仿宋" w:eastAsia="仿宋" w:cs="仿宋"/>
          <w:b w:val="0"/>
          <w:bCs w:val="0"/>
          <w:szCs w:val="21"/>
        </w:rPr>
        <w:t>(本格式条款供双方签订合同参考，采购人可根据项目的实际情况增减条款和内容)</w:t>
      </w:r>
    </w:p>
    <w:p w14:paraId="39EA7927">
      <w:pPr>
        <w:spacing w:line="360" w:lineRule="auto"/>
        <w:jc w:val="center"/>
        <w:rPr>
          <w:rFonts w:hint="eastAsia" w:ascii="仿宋" w:hAnsi="仿宋" w:eastAsia="仿宋" w:cs="仿宋"/>
          <w:b w:val="0"/>
          <w:bCs w:val="0"/>
          <w:szCs w:val="21"/>
        </w:rPr>
      </w:pPr>
      <w:r>
        <w:rPr>
          <w:rFonts w:hint="eastAsia" w:ascii="仿宋" w:hAnsi="仿宋" w:eastAsia="仿宋" w:cs="仿宋"/>
          <w:b w:val="0"/>
          <w:bCs w:val="0"/>
          <w:szCs w:val="21"/>
        </w:rPr>
        <w:t>（仅供参考，均适用于包</w:t>
      </w:r>
      <w:r>
        <w:rPr>
          <w:rFonts w:hint="eastAsia" w:ascii="仿宋" w:hAnsi="仿宋" w:eastAsia="仿宋" w:cs="仿宋"/>
          <w:b w:val="0"/>
          <w:bCs w:val="0"/>
          <w:szCs w:val="21"/>
          <w:lang w:val="en-US" w:eastAsia="zh-CN"/>
        </w:rPr>
        <w:t>9、10</w:t>
      </w:r>
      <w:r>
        <w:rPr>
          <w:rFonts w:hint="eastAsia" w:ascii="仿宋" w:hAnsi="仿宋" w:eastAsia="仿宋" w:cs="仿宋"/>
          <w:b w:val="0"/>
          <w:bCs w:val="0"/>
          <w:szCs w:val="21"/>
        </w:rPr>
        <w:t>）</w:t>
      </w:r>
    </w:p>
    <w:p w14:paraId="00DBF222">
      <w:pPr>
        <w:pStyle w:val="3"/>
        <w:spacing w:line="420" w:lineRule="exact"/>
        <w:ind w:firstLine="420" w:firstLineChars="200"/>
        <w:jc w:val="left"/>
        <w:rPr>
          <w:rFonts w:hint="eastAsia" w:ascii="仿宋" w:hAnsi="仿宋" w:eastAsia="仿宋" w:cs="仿宋"/>
          <w:b w:val="0"/>
          <w:bCs w:val="0"/>
        </w:rPr>
      </w:pPr>
      <w:r>
        <w:rPr>
          <w:rFonts w:hint="eastAsia" w:ascii="仿宋" w:hAnsi="仿宋" w:eastAsia="仿宋" w:cs="仿宋"/>
          <w:b w:val="0"/>
          <w:bCs w:val="0"/>
          <w:u w:val="single"/>
          <w:lang w:val="en-US" w:eastAsia="zh-CN"/>
        </w:rPr>
        <w:t>西安市临潼区教育局2025-2026学年度营养改善计划营养早餐及大宗食材采购项目</w:t>
      </w:r>
      <w:r>
        <w:rPr>
          <w:rFonts w:hint="eastAsia" w:ascii="仿宋" w:hAnsi="仿宋" w:eastAsia="仿宋" w:cs="仿宋"/>
          <w:b w:val="0"/>
          <w:bCs w:val="0"/>
        </w:rPr>
        <w:t xml:space="preserve"> (项目编号：ZXGJLTFGS-2025-011)，在西安市临潼区财政局的监督管理下，在西安市临潼区教育局的共同参与下，由</w:t>
      </w:r>
      <w:r>
        <w:rPr>
          <w:rFonts w:hint="eastAsia" w:ascii="仿宋" w:hAnsi="仿宋" w:eastAsia="仿宋" w:cs="仿宋"/>
          <w:b w:val="0"/>
          <w:bCs w:val="0"/>
          <w:szCs w:val="21"/>
        </w:rPr>
        <w:t>中昕国际项目管理有限公司</w:t>
      </w:r>
      <w:r>
        <w:rPr>
          <w:rFonts w:hint="eastAsia" w:ascii="仿宋" w:hAnsi="仿宋" w:eastAsia="仿宋" w:cs="仿宋"/>
          <w:b w:val="0"/>
          <w:bCs w:val="0"/>
        </w:rPr>
        <w:t>组织公开招标。 最终确定 (中标单位名称) （以下简称“卖方”）为本项目第（ ）</w:t>
      </w:r>
      <w:r>
        <w:rPr>
          <w:rFonts w:hint="eastAsia" w:ascii="仿宋" w:hAnsi="仿宋" w:eastAsia="仿宋" w:cs="仿宋"/>
          <w:b w:val="0"/>
          <w:bCs w:val="0"/>
          <w:lang w:val="en-US" w:eastAsia="zh-CN"/>
        </w:rPr>
        <w:t>包</w:t>
      </w:r>
      <w:r>
        <w:rPr>
          <w:rFonts w:hint="eastAsia" w:ascii="仿宋" w:hAnsi="仿宋" w:eastAsia="仿宋" w:cs="仿宋"/>
          <w:b w:val="0"/>
          <w:bCs w:val="0"/>
        </w:rPr>
        <w:t xml:space="preserve">的中标单位。 </w:t>
      </w:r>
    </w:p>
    <w:p w14:paraId="1A19D2E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买方： </w:t>
      </w:r>
    </w:p>
    <w:p w14:paraId="7B25B02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卖方：(中标单位名称) </w:t>
      </w:r>
    </w:p>
    <w:p w14:paraId="5E2F382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依据《中华人民共和国民法典》和《中华人民共和国政府采购法》，买方通过公开招标采购（乳制品），并接受了卖方以价格(中标金额大写)(中标单价)提供的产品及服务。 </w:t>
      </w:r>
    </w:p>
    <w:p w14:paraId="5F6DBD8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一、买方向卖方提供货物：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1"/>
        <w:gridCol w:w="1063"/>
        <w:gridCol w:w="1064"/>
        <w:gridCol w:w="1064"/>
        <w:gridCol w:w="1065"/>
        <w:gridCol w:w="1065"/>
        <w:gridCol w:w="1065"/>
        <w:gridCol w:w="1065"/>
      </w:tblGrid>
      <w:tr w14:paraId="3B7CD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8" w:type="dxa"/>
            <w:noWrap w:val="0"/>
            <w:vAlign w:val="top"/>
          </w:tcPr>
          <w:p w14:paraId="0B980DE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r>
              <w:rPr>
                <w:rFonts w:hint="eastAsia" w:ascii="仿宋" w:hAnsi="仿宋" w:eastAsia="仿宋" w:cs="仿宋"/>
                <w:b w:val="0"/>
                <w:bCs w:val="0"/>
                <w:vertAlign w:val="baseline"/>
                <w:lang w:val="en-US" w:eastAsia="zh-CN"/>
              </w:rPr>
              <w:t>序号</w:t>
            </w:r>
          </w:p>
        </w:tc>
        <w:tc>
          <w:tcPr>
            <w:tcW w:w="1118" w:type="dxa"/>
            <w:noWrap w:val="0"/>
            <w:vAlign w:val="top"/>
          </w:tcPr>
          <w:p w14:paraId="5EA8149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r>
              <w:rPr>
                <w:rFonts w:hint="eastAsia" w:ascii="仿宋" w:hAnsi="仿宋" w:eastAsia="仿宋" w:cs="仿宋"/>
                <w:b w:val="0"/>
                <w:bCs w:val="0"/>
                <w:vertAlign w:val="baseline"/>
                <w:lang w:val="en-US" w:eastAsia="zh-CN"/>
              </w:rPr>
              <w:t>名称</w:t>
            </w:r>
          </w:p>
        </w:tc>
        <w:tc>
          <w:tcPr>
            <w:tcW w:w="1118" w:type="dxa"/>
            <w:noWrap w:val="0"/>
            <w:vAlign w:val="top"/>
          </w:tcPr>
          <w:p w14:paraId="0EABCE4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r>
              <w:rPr>
                <w:rFonts w:hint="eastAsia" w:ascii="仿宋" w:hAnsi="仿宋" w:eastAsia="仿宋" w:cs="仿宋"/>
                <w:b w:val="0"/>
                <w:bCs w:val="0"/>
                <w:vertAlign w:val="baseline"/>
                <w:lang w:val="en-US" w:eastAsia="zh-CN"/>
              </w:rPr>
              <w:t>规格</w:t>
            </w:r>
          </w:p>
        </w:tc>
        <w:tc>
          <w:tcPr>
            <w:tcW w:w="1118" w:type="dxa"/>
            <w:noWrap w:val="0"/>
            <w:vAlign w:val="top"/>
          </w:tcPr>
          <w:p w14:paraId="1B2E894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r>
              <w:rPr>
                <w:rFonts w:hint="eastAsia" w:ascii="仿宋" w:hAnsi="仿宋" w:eastAsia="仿宋" w:cs="仿宋"/>
                <w:b w:val="0"/>
                <w:bCs w:val="0"/>
                <w:vertAlign w:val="baseline"/>
                <w:lang w:val="en-US" w:eastAsia="zh-CN"/>
              </w:rPr>
              <w:t>包装形式</w:t>
            </w:r>
          </w:p>
        </w:tc>
        <w:tc>
          <w:tcPr>
            <w:tcW w:w="1119" w:type="dxa"/>
            <w:noWrap w:val="0"/>
            <w:vAlign w:val="top"/>
          </w:tcPr>
          <w:p w14:paraId="461B07F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r>
              <w:rPr>
                <w:rFonts w:hint="eastAsia" w:ascii="仿宋" w:hAnsi="仿宋" w:eastAsia="仿宋" w:cs="仿宋"/>
                <w:b w:val="0"/>
                <w:bCs w:val="0"/>
                <w:vertAlign w:val="baseline"/>
                <w:lang w:val="en-US" w:eastAsia="zh-CN"/>
              </w:rPr>
              <w:t>品牌</w:t>
            </w:r>
          </w:p>
        </w:tc>
        <w:tc>
          <w:tcPr>
            <w:tcW w:w="1119" w:type="dxa"/>
            <w:noWrap w:val="0"/>
            <w:vAlign w:val="top"/>
          </w:tcPr>
          <w:p w14:paraId="43E07DF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r>
              <w:rPr>
                <w:rFonts w:hint="eastAsia" w:ascii="仿宋" w:hAnsi="仿宋" w:eastAsia="仿宋" w:cs="仿宋"/>
                <w:b w:val="0"/>
                <w:bCs w:val="0"/>
                <w:vertAlign w:val="baseline"/>
                <w:lang w:val="en-US" w:eastAsia="zh-CN"/>
              </w:rPr>
              <w:t>数量</w:t>
            </w:r>
          </w:p>
        </w:tc>
        <w:tc>
          <w:tcPr>
            <w:tcW w:w="1119" w:type="dxa"/>
            <w:noWrap w:val="0"/>
            <w:vAlign w:val="top"/>
          </w:tcPr>
          <w:p w14:paraId="08D2F27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r>
              <w:rPr>
                <w:rFonts w:hint="eastAsia" w:ascii="仿宋" w:hAnsi="仿宋" w:eastAsia="仿宋" w:cs="仿宋"/>
                <w:b w:val="0"/>
                <w:bCs w:val="0"/>
                <w:vertAlign w:val="baseline"/>
                <w:lang w:val="en-US" w:eastAsia="zh-CN"/>
              </w:rPr>
              <w:t>单价</w:t>
            </w:r>
          </w:p>
        </w:tc>
        <w:tc>
          <w:tcPr>
            <w:tcW w:w="1119" w:type="dxa"/>
            <w:noWrap w:val="0"/>
            <w:vAlign w:val="top"/>
          </w:tcPr>
          <w:p w14:paraId="70FAAA3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r>
              <w:rPr>
                <w:rFonts w:hint="eastAsia" w:ascii="仿宋" w:hAnsi="仿宋" w:eastAsia="仿宋" w:cs="仿宋"/>
                <w:b w:val="0"/>
                <w:bCs w:val="0"/>
                <w:vertAlign w:val="baseline"/>
                <w:lang w:val="en-US" w:eastAsia="zh-CN"/>
              </w:rPr>
              <w:t>总价</w:t>
            </w:r>
          </w:p>
        </w:tc>
      </w:tr>
      <w:tr w14:paraId="12B19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8" w:type="dxa"/>
            <w:noWrap w:val="0"/>
            <w:vAlign w:val="top"/>
          </w:tcPr>
          <w:p w14:paraId="152368D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r>
              <w:rPr>
                <w:rFonts w:hint="eastAsia" w:ascii="仿宋" w:hAnsi="仿宋" w:eastAsia="仿宋" w:cs="仿宋"/>
                <w:b w:val="0"/>
                <w:bCs w:val="0"/>
                <w:vertAlign w:val="baseline"/>
                <w:lang w:val="en-US" w:eastAsia="zh-CN"/>
              </w:rPr>
              <w:t>1</w:t>
            </w:r>
          </w:p>
        </w:tc>
        <w:tc>
          <w:tcPr>
            <w:tcW w:w="1118" w:type="dxa"/>
            <w:noWrap w:val="0"/>
            <w:vAlign w:val="top"/>
          </w:tcPr>
          <w:p w14:paraId="10318D7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p>
        </w:tc>
        <w:tc>
          <w:tcPr>
            <w:tcW w:w="1118" w:type="dxa"/>
            <w:noWrap w:val="0"/>
            <w:vAlign w:val="top"/>
          </w:tcPr>
          <w:p w14:paraId="216ED4A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p>
        </w:tc>
        <w:tc>
          <w:tcPr>
            <w:tcW w:w="1118" w:type="dxa"/>
            <w:noWrap w:val="0"/>
            <w:vAlign w:val="top"/>
          </w:tcPr>
          <w:p w14:paraId="551FEBF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p>
        </w:tc>
        <w:tc>
          <w:tcPr>
            <w:tcW w:w="1119" w:type="dxa"/>
            <w:noWrap w:val="0"/>
            <w:vAlign w:val="top"/>
          </w:tcPr>
          <w:p w14:paraId="4C6DE22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p>
        </w:tc>
        <w:tc>
          <w:tcPr>
            <w:tcW w:w="1119" w:type="dxa"/>
            <w:noWrap w:val="0"/>
            <w:vAlign w:val="top"/>
          </w:tcPr>
          <w:p w14:paraId="24614D3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p>
        </w:tc>
        <w:tc>
          <w:tcPr>
            <w:tcW w:w="1119" w:type="dxa"/>
            <w:noWrap w:val="0"/>
            <w:vAlign w:val="top"/>
          </w:tcPr>
          <w:p w14:paraId="0C8CA45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p>
        </w:tc>
        <w:tc>
          <w:tcPr>
            <w:tcW w:w="1119" w:type="dxa"/>
            <w:noWrap w:val="0"/>
            <w:vAlign w:val="top"/>
          </w:tcPr>
          <w:p w14:paraId="2F788C2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p>
        </w:tc>
      </w:tr>
      <w:tr w14:paraId="1DCB2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8" w:type="dxa"/>
            <w:noWrap w:val="0"/>
            <w:vAlign w:val="top"/>
          </w:tcPr>
          <w:p w14:paraId="3EC50C3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r>
              <w:rPr>
                <w:rFonts w:hint="eastAsia" w:ascii="仿宋" w:hAnsi="仿宋" w:eastAsia="仿宋" w:cs="仿宋"/>
                <w:b w:val="0"/>
                <w:bCs w:val="0"/>
                <w:vertAlign w:val="baseline"/>
                <w:lang w:val="en-US" w:eastAsia="zh-CN"/>
              </w:rPr>
              <w:t>2</w:t>
            </w:r>
          </w:p>
        </w:tc>
        <w:tc>
          <w:tcPr>
            <w:tcW w:w="1118" w:type="dxa"/>
            <w:noWrap w:val="0"/>
            <w:vAlign w:val="top"/>
          </w:tcPr>
          <w:p w14:paraId="6AE7127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p>
        </w:tc>
        <w:tc>
          <w:tcPr>
            <w:tcW w:w="1118" w:type="dxa"/>
            <w:noWrap w:val="0"/>
            <w:vAlign w:val="top"/>
          </w:tcPr>
          <w:p w14:paraId="6C6B582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p>
        </w:tc>
        <w:tc>
          <w:tcPr>
            <w:tcW w:w="1118" w:type="dxa"/>
            <w:noWrap w:val="0"/>
            <w:vAlign w:val="top"/>
          </w:tcPr>
          <w:p w14:paraId="0D3BB2C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p>
        </w:tc>
        <w:tc>
          <w:tcPr>
            <w:tcW w:w="1119" w:type="dxa"/>
            <w:noWrap w:val="0"/>
            <w:vAlign w:val="top"/>
          </w:tcPr>
          <w:p w14:paraId="7192887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p>
        </w:tc>
        <w:tc>
          <w:tcPr>
            <w:tcW w:w="1119" w:type="dxa"/>
            <w:noWrap w:val="0"/>
            <w:vAlign w:val="top"/>
          </w:tcPr>
          <w:p w14:paraId="26777AF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p>
        </w:tc>
        <w:tc>
          <w:tcPr>
            <w:tcW w:w="1119" w:type="dxa"/>
            <w:noWrap w:val="0"/>
            <w:vAlign w:val="top"/>
          </w:tcPr>
          <w:p w14:paraId="56AE330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p>
        </w:tc>
        <w:tc>
          <w:tcPr>
            <w:tcW w:w="1119" w:type="dxa"/>
            <w:noWrap w:val="0"/>
            <w:vAlign w:val="top"/>
          </w:tcPr>
          <w:p w14:paraId="288DA3D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p>
        </w:tc>
      </w:tr>
      <w:tr w14:paraId="14125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8" w:type="dxa"/>
            <w:noWrap w:val="0"/>
            <w:vAlign w:val="top"/>
          </w:tcPr>
          <w:p w14:paraId="0A21DDE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r>
              <w:rPr>
                <w:rFonts w:hint="eastAsia" w:ascii="仿宋" w:hAnsi="仿宋" w:eastAsia="仿宋" w:cs="仿宋"/>
                <w:b w:val="0"/>
                <w:bCs w:val="0"/>
                <w:vertAlign w:val="baseline"/>
                <w:lang w:val="en-US" w:eastAsia="zh-CN"/>
              </w:rPr>
              <w:t>...</w:t>
            </w:r>
          </w:p>
        </w:tc>
        <w:tc>
          <w:tcPr>
            <w:tcW w:w="1118" w:type="dxa"/>
            <w:noWrap w:val="0"/>
            <w:vAlign w:val="top"/>
          </w:tcPr>
          <w:p w14:paraId="6EC5EEE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p>
        </w:tc>
        <w:tc>
          <w:tcPr>
            <w:tcW w:w="1118" w:type="dxa"/>
            <w:noWrap w:val="0"/>
            <w:vAlign w:val="top"/>
          </w:tcPr>
          <w:p w14:paraId="1CB56E8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p>
        </w:tc>
        <w:tc>
          <w:tcPr>
            <w:tcW w:w="1118" w:type="dxa"/>
            <w:noWrap w:val="0"/>
            <w:vAlign w:val="top"/>
          </w:tcPr>
          <w:p w14:paraId="27C1905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p>
        </w:tc>
        <w:tc>
          <w:tcPr>
            <w:tcW w:w="1119" w:type="dxa"/>
            <w:noWrap w:val="0"/>
            <w:vAlign w:val="top"/>
          </w:tcPr>
          <w:p w14:paraId="12ED2F1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p>
        </w:tc>
        <w:tc>
          <w:tcPr>
            <w:tcW w:w="1119" w:type="dxa"/>
            <w:noWrap w:val="0"/>
            <w:vAlign w:val="top"/>
          </w:tcPr>
          <w:p w14:paraId="1B4CA1C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p>
        </w:tc>
        <w:tc>
          <w:tcPr>
            <w:tcW w:w="1119" w:type="dxa"/>
            <w:noWrap w:val="0"/>
            <w:vAlign w:val="top"/>
          </w:tcPr>
          <w:p w14:paraId="47A97A4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p>
        </w:tc>
        <w:tc>
          <w:tcPr>
            <w:tcW w:w="1119" w:type="dxa"/>
            <w:noWrap w:val="0"/>
            <w:vAlign w:val="top"/>
          </w:tcPr>
          <w:p w14:paraId="598F349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p>
        </w:tc>
      </w:tr>
      <w:tr w14:paraId="28379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8" w:type="dxa"/>
            <w:noWrap w:val="0"/>
            <w:vAlign w:val="top"/>
          </w:tcPr>
          <w:p w14:paraId="3D85EF0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r>
              <w:rPr>
                <w:rFonts w:hint="eastAsia" w:ascii="仿宋" w:hAnsi="仿宋" w:eastAsia="仿宋" w:cs="仿宋"/>
                <w:b w:val="0"/>
                <w:bCs w:val="0"/>
                <w:vertAlign w:val="baseline"/>
                <w:lang w:val="en-US" w:eastAsia="zh-CN"/>
              </w:rPr>
              <w:t>合计</w:t>
            </w:r>
          </w:p>
        </w:tc>
        <w:tc>
          <w:tcPr>
            <w:tcW w:w="1118" w:type="dxa"/>
            <w:noWrap w:val="0"/>
            <w:vAlign w:val="top"/>
          </w:tcPr>
          <w:p w14:paraId="7E0EA26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p>
        </w:tc>
        <w:tc>
          <w:tcPr>
            <w:tcW w:w="1118" w:type="dxa"/>
            <w:noWrap w:val="0"/>
            <w:vAlign w:val="top"/>
          </w:tcPr>
          <w:p w14:paraId="06F2202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p>
        </w:tc>
        <w:tc>
          <w:tcPr>
            <w:tcW w:w="1118" w:type="dxa"/>
            <w:noWrap w:val="0"/>
            <w:vAlign w:val="top"/>
          </w:tcPr>
          <w:p w14:paraId="4859AA1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p>
        </w:tc>
        <w:tc>
          <w:tcPr>
            <w:tcW w:w="1119" w:type="dxa"/>
            <w:noWrap w:val="0"/>
            <w:vAlign w:val="top"/>
          </w:tcPr>
          <w:p w14:paraId="726A057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p>
        </w:tc>
        <w:tc>
          <w:tcPr>
            <w:tcW w:w="1119" w:type="dxa"/>
            <w:noWrap w:val="0"/>
            <w:vAlign w:val="top"/>
          </w:tcPr>
          <w:p w14:paraId="2EDAEC3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p>
        </w:tc>
        <w:tc>
          <w:tcPr>
            <w:tcW w:w="1119" w:type="dxa"/>
            <w:noWrap w:val="0"/>
            <w:vAlign w:val="top"/>
          </w:tcPr>
          <w:p w14:paraId="206D40C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p>
        </w:tc>
        <w:tc>
          <w:tcPr>
            <w:tcW w:w="1119" w:type="dxa"/>
            <w:noWrap w:val="0"/>
            <w:vAlign w:val="top"/>
          </w:tcPr>
          <w:p w14:paraId="33112C6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vertAlign w:val="baseline"/>
                <w:lang w:val="en-US" w:eastAsia="zh-CN"/>
              </w:rPr>
            </w:pPr>
          </w:p>
        </w:tc>
      </w:tr>
    </w:tbl>
    <w:p w14:paraId="34C2351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二、合同价款 </w:t>
      </w:r>
    </w:p>
    <w:p w14:paraId="0E0BC29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1、合同价款： </w:t>
      </w:r>
    </w:p>
    <w:p w14:paraId="1120B01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2、合同价包括：合同总价为产品送达到指定地点包括的所有费用。包括产品供应费、储存费、配送费（含仓储费、保险费、装卸费）及其它相关的费用。 </w:t>
      </w:r>
    </w:p>
    <w:p w14:paraId="60920F2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3、合同单价一次包死，不受市场价变化的影响，合同总价以实际供应天数确定。 </w:t>
      </w:r>
    </w:p>
    <w:p w14:paraId="0FD7034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lang w:val="en-US" w:eastAsia="zh-CN"/>
        </w:rPr>
      </w:pPr>
      <w:r>
        <w:rPr>
          <w:rFonts w:hint="eastAsia" w:ascii="仿宋" w:hAnsi="仿宋" w:eastAsia="仿宋" w:cs="仿宋"/>
          <w:b w:val="0"/>
          <w:bCs w:val="0"/>
          <w:lang w:val="en-US" w:eastAsia="zh-CN"/>
        </w:rPr>
        <w:t>4、合同结算</w:t>
      </w:r>
    </w:p>
    <w:p w14:paraId="30584A86">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pacing w:val="0"/>
          <w:position w:val="0"/>
          <w:sz w:val="21"/>
          <w:szCs w:val="21"/>
          <w:highlight w:val="none"/>
        </w:rPr>
      </w:pPr>
      <w:r>
        <w:rPr>
          <w:rFonts w:hint="eastAsia" w:ascii="仿宋" w:hAnsi="仿宋" w:eastAsia="仿宋" w:cs="仿宋"/>
          <w:b w:val="0"/>
          <w:bCs w:val="0"/>
          <w:lang w:val="en-US" w:eastAsia="zh-CN"/>
        </w:rPr>
        <w:t>4.1、结算方式：原则上每两个月结算一次，供应商要及时将送货清单、签过字的验收单及正规发票及时送到采购人处，双方按实际供货数量*2元为准结算货款，采购人在签字确认后 20 个日历日内以银行转账方式支付到供应商指定的帐户。</w:t>
      </w:r>
    </w:p>
    <w:p w14:paraId="26E9E8D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4.2 货款支付单位为： </w:t>
      </w:r>
    </w:p>
    <w:p w14:paraId="0F5E54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发票开具的“购货单位（人）名称”为： </w:t>
      </w:r>
    </w:p>
    <w:p w14:paraId="1A4A8C4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三、交货条件: </w:t>
      </w:r>
    </w:p>
    <w:p w14:paraId="578C03DD">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 xml:space="preserve">1、交货地点：西安市临潼区教育局指定学校 </w:t>
      </w:r>
    </w:p>
    <w:p w14:paraId="55D09822">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2、服务期限：202</w:t>
      </w:r>
      <w:r>
        <w:rPr>
          <w:rFonts w:hint="eastAsia" w:ascii="仿宋" w:hAnsi="仿宋" w:eastAsia="仿宋" w:cs="仿宋"/>
          <w:b w:val="0"/>
          <w:bCs w:val="0"/>
          <w:lang w:val="en-US" w:eastAsia="zh-CN"/>
        </w:rPr>
        <w:t>5</w:t>
      </w:r>
      <w:r>
        <w:rPr>
          <w:rFonts w:hint="eastAsia" w:ascii="仿宋" w:hAnsi="仿宋" w:eastAsia="仿宋" w:cs="仿宋"/>
          <w:b w:val="0"/>
          <w:bCs w:val="0"/>
        </w:rPr>
        <w:t>-202</w:t>
      </w:r>
      <w:r>
        <w:rPr>
          <w:rFonts w:hint="eastAsia" w:ascii="仿宋" w:hAnsi="仿宋" w:eastAsia="仿宋" w:cs="仿宋"/>
          <w:b w:val="0"/>
          <w:bCs w:val="0"/>
          <w:lang w:val="en-US" w:eastAsia="zh-CN"/>
        </w:rPr>
        <w:t>6</w:t>
      </w:r>
      <w:r>
        <w:rPr>
          <w:rFonts w:hint="eastAsia" w:ascii="仿宋" w:hAnsi="仿宋" w:eastAsia="仿宋" w:cs="仿宋"/>
          <w:b w:val="0"/>
          <w:bCs w:val="0"/>
        </w:rPr>
        <w:t>学年度</w:t>
      </w:r>
    </w:p>
    <w:p w14:paraId="63C7C5CC">
      <w:pPr>
        <w:spacing w:line="360" w:lineRule="auto"/>
        <w:ind w:firstLine="420" w:firstLineChars="200"/>
        <w:rPr>
          <w:rFonts w:hint="eastAsia" w:ascii="仿宋" w:hAnsi="仿宋" w:eastAsia="仿宋" w:cs="仿宋"/>
          <w:b w:val="0"/>
          <w:bCs w:val="0"/>
        </w:rPr>
      </w:pPr>
      <w:r>
        <w:rPr>
          <w:rFonts w:hint="eastAsia" w:ascii="仿宋" w:hAnsi="仿宋" w:eastAsia="仿宋" w:cs="仿宋"/>
          <w:b w:val="0"/>
          <w:bCs w:val="0"/>
        </w:rPr>
        <w:t>3、合同履行期限：采购人要求时间之前送至指定地点。</w:t>
      </w:r>
    </w:p>
    <w:p w14:paraId="3EB70559">
      <w:pPr>
        <w:spacing w:line="360" w:lineRule="auto"/>
        <w:ind w:firstLine="420" w:firstLineChars="200"/>
        <w:rPr>
          <w:rFonts w:hint="eastAsia" w:ascii="仿宋" w:hAnsi="仿宋" w:eastAsia="仿宋" w:cs="仿宋"/>
          <w:b w:val="0"/>
          <w:bCs w:val="0"/>
          <w:lang w:val="en-US" w:eastAsia="zh-CN"/>
        </w:rPr>
      </w:pPr>
      <w:r>
        <w:rPr>
          <w:rFonts w:hint="eastAsia" w:ascii="仿宋" w:hAnsi="仿宋" w:eastAsia="仿宋" w:cs="仿宋"/>
          <w:b w:val="0"/>
          <w:bCs w:val="0"/>
          <w:lang w:val="en-US" w:eastAsia="zh-CN"/>
        </w:rPr>
        <w:t>4、供货要求：中标单位负责每次订单所有货物的运输、保险。</w:t>
      </w:r>
    </w:p>
    <w:p w14:paraId="4DE85F8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lang w:val="en-US" w:eastAsia="zh-CN"/>
        </w:rPr>
      </w:pPr>
      <w:r>
        <w:rPr>
          <w:rFonts w:hint="eastAsia" w:ascii="仿宋" w:hAnsi="仿宋" w:eastAsia="仿宋" w:cs="仿宋"/>
          <w:b w:val="0"/>
          <w:bCs w:val="0"/>
          <w:lang w:val="en-US" w:eastAsia="zh-CN"/>
        </w:rPr>
        <w:t xml:space="preserve">四、质量保证 ：（1）每周1次配送到学校，配送货物出厂日期不大于 30 天。 </w:t>
      </w:r>
    </w:p>
    <w:p w14:paraId="5D688B9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lang w:val="en-US" w:eastAsia="zh-CN"/>
        </w:rPr>
      </w:pPr>
      <w:r>
        <w:rPr>
          <w:rFonts w:hint="eastAsia" w:ascii="仿宋" w:hAnsi="仿宋" w:eastAsia="仿宋" w:cs="仿宋"/>
          <w:b w:val="0"/>
          <w:bCs w:val="0"/>
          <w:lang w:val="en-US" w:eastAsia="zh-CN"/>
        </w:rPr>
        <w:t>（2）每次配送量包含每校留样最少 1 份和因运输装卸过程中造成的损耗（例如包装严重变形、破损，食品污损、变异等），发现的破损、变异食品必须无条件更换。</w:t>
      </w:r>
    </w:p>
    <w:p w14:paraId="6C6C0FD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lang w:val="en-US" w:eastAsia="zh-CN"/>
        </w:rPr>
      </w:pPr>
      <w:r>
        <w:rPr>
          <w:rFonts w:hint="eastAsia" w:ascii="仿宋" w:hAnsi="仿宋" w:eastAsia="仿宋" w:cs="仿宋"/>
          <w:b w:val="0"/>
          <w:bCs w:val="0"/>
          <w:lang w:val="en-US" w:eastAsia="zh-CN"/>
        </w:rPr>
        <w:t xml:space="preserve">（3）因餐品质量问题引起的一切责任事故，均由中标单位全权负责，采购人和配送学校不承担任何责任。 </w:t>
      </w:r>
    </w:p>
    <w:p w14:paraId="2D6FCA6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lang w:val="en-US" w:eastAsia="zh-CN"/>
        </w:rPr>
      </w:pPr>
      <w:r>
        <w:rPr>
          <w:rFonts w:hint="eastAsia" w:ascii="仿宋" w:hAnsi="仿宋" w:eastAsia="仿宋" w:cs="仿宋"/>
          <w:b w:val="0"/>
          <w:bCs w:val="0"/>
          <w:lang w:val="en-US" w:eastAsia="zh-CN"/>
        </w:rPr>
        <w:t xml:space="preserve">（4）服务期限出现的质量问题由中标人负责解决并承担所有费用。 </w:t>
      </w:r>
    </w:p>
    <w:p w14:paraId="2E5970A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lang w:val="en-US" w:eastAsia="zh-CN"/>
        </w:rPr>
      </w:pPr>
      <w:r>
        <w:rPr>
          <w:rFonts w:hint="eastAsia" w:ascii="仿宋" w:hAnsi="仿宋" w:eastAsia="仿宋" w:cs="仿宋"/>
          <w:b w:val="0"/>
          <w:bCs w:val="0"/>
          <w:lang w:val="en-US" w:eastAsia="zh-CN"/>
        </w:rPr>
        <w:t>（5）如误食用，并造成实际伤害及损失，将由中标人承担全部责任。</w:t>
      </w:r>
    </w:p>
    <w:p w14:paraId="1376CB1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五、验收： </w:t>
      </w:r>
    </w:p>
    <w:p w14:paraId="72FD983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1、产品送到指定地点后由接货学校和供货单位共同验收，核对数量，检查产品的外观和质量等并留存样品，经检验无误共同签署产品配送单（三联单）、接货学校、供货方、采购人各执一份，验收不合格的不予接收。 </w:t>
      </w:r>
    </w:p>
    <w:p w14:paraId="4ADD0A9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2、中标单位对最终的产品质量负完全责任。 </w:t>
      </w:r>
    </w:p>
    <w:p w14:paraId="5FC098F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3、验收依据： </w:t>
      </w:r>
    </w:p>
    <w:p w14:paraId="551460C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1）、合同文本、合同附件、招标文件、投标文件。 </w:t>
      </w:r>
    </w:p>
    <w:p w14:paraId="371C9ED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2）、国内相应的标准、规范。 </w:t>
      </w:r>
    </w:p>
    <w:p w14:paraId="560A430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六、双方权利和义务 </w:t>
      </w:r>
    </w:p>
    <w:p w14:paraId="3B3CD38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（一）买方的权利和义务 </w:t>
      </w:r>
    </w:p>
    <w:p w14:paraId="23562AA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1、买方有权利要求卖方出示所采购产品（乳制品）的质检报告或买方有权利对卖方所供货物进行另行抽检。 </w:t>
      </w:r>
    </w:p>
    <w:p w14:paraId="1D6530A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2、买方有权利拒绝接受非买方采购产品。</w:t>
      </w:r>
    </w:p>
    <w:p w14:paraId="79CB757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3、买方有权利对卖方所供产品包装破损的产品提出异议或拒绝接受。 </w:t>
      </w:r>
    </w:p>
    <w:p w14:paraId="338C65D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4、买方有权利对卖方的服务进行监督和评判。 </w:t>
      </w:r>
    </w:p>
    <w:p w14:paraId="220CAEB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5、买方有义务对卖方所供货物进行规范储存。 </w:t>
      </w:r>
    </w:p>
    <w:p w14:paraId="3440DC4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6、买方有义务配合卖方对卖方所供产品的流向进行监控，不得出现流入非本渠道现象，更不能出现售卖等现象。 </w:t>
      </w:r>
    </w:p>
    <w:p w14:paraId="27357F9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7、在供货业务运行过程中出现时间、地点、人员变化等现象，买方有义务事先通告卖方并配合卖方完成后续交接等事宜。 </w:t>
      </w:r>
    </w:p>
    <w:p w14:paraId="53C2E0C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8、买方有义务配合卖方缩减交接货物环节的流程及时间。 </w:t>
      </w:r>
    </w:p>
    <w:p w14:paraId="36C244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9、买方有义务配合卖方处理完善双方合作中的突发事件。 </w:t>
      </w:r>
    </w:p>
    <w:p w14:paraId="7321101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10、买方有义务配合卖方做一些关于食用产品知识的宣传工作。 </w:t>
      </w:r>
    </w:p>
    <w:p w14:paraId="4FEBB6B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11、买方有权利对卖方提供的货物进行不定期抽查。 </w:t>
      </w:r>
    </w:p>
    <w:p w14:paraId="7BD058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（二）卖方的权利和义务 </w:t>
      </w:r>
    </w:p>
    <w:p w14:paraId="65EA8DF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1、卖方有义务向买方提供按标签标注质量标注合格的产品，并向买方提供销售所需的“三证”及相关资料。 </w:t>
      </w:r>
    </w:p>
    <w:p w14:paraId="1F17063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2、卖方保证价格不变。 </w:t>
      </w:r>
    </w:p>
    <w:p w14:paraId="65614C3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3、卖方保证向买方所供货完整无损。 </w:t>
      </w:r>
    </w:p>
    <w:p w14:paraId="2E2EAA7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4、在同等条件下，买方应优先选用卖方的产品。 </w:t>
      </w:r>
    </w:p>
    <w:p w14:paraId="7147299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5、卖方在按相关规定送货到位后，买方应及时接收并出具规定的接货证明，本企业有权监督避免拖延时间或无人接货等现象的出现。 </w:t>
      </w:r>
    </w:p>
    <w:p w14:paraId="745B45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6、卖方有义务对所供学校的师生进行产品知识及食用产品知识的培训。 </w:t>
      </w:r>
    </w:p>
    <w:p w14:paraId="199A5B0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7、卖方有义务对所供学校提供每单品一包的留样产品（送到每个学校留样 1 份）。 </w:t>
      </w:r>
    </w:p>
    <w:p w14:paraId="49A3D41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七、违约责任 </w:t>
      </w:r>
    </w:p>
    <w:p w14:paraId="7ADB74C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lang w:val="en-US" w:eastAsia="zh-CN"/>
        </w:rPr>
      </w:pPr>
      <w:r>
        <w:rPr>
          <w:rFonts w:hint="eastAsia" w:ascii="仿宋" w:hAnsi="仿宋" w:eastAsia="仿宋" w:cs="仿宋"/>
          <w:b w:val="0"/>
          <w:bCs w:val="0"/>
          <w:lang w:val="en-US" w:eastAsia="zh-CN"/>
        </w:rPr>
        <w:t>1）按《中华人民共和国民法典》中的相关条款执行。</w:t>
      </w:r>
    </w:p>
    <w:p w14:paraId="4DC2F95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lang w:val="en-US" w:eastAsia="zh-CN"/>
        </w:rPr>
      </w:pPr>
      <w:r>
        <w:rPr>
          <w:rFonts w:hint="eastAsia" w:ascii="仿宋" w:hAnsi="仿宋" w:eastAsia="仿宋" w:cs="仿宋"/>
          <w:b w:val="0"/>
          <w:bCs w:val="0"/>
          <w:lang w:val="en-US" w:eastAsia="zh-CN"/>
        </w:rPr>
        <w:t>2）未按合同要求提供货物质量不能满足技术要求，采购人有权终止合同， 并对供方违约行为进行追究，同时按《中华人民共和国政府采购法》、《中华人民共和国民法典》等有关规定进行处罚。</w:t>
      </w:r>
    </w:p>
    <w:p w14:paraId="5166B7E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八、合同争议解决的方式</w:t>
      </w:r>
    </w:p>
    <w:p w14:paraId="79A530D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本合同在履行过程中发生的争议，由买卖双方当事人协商解决，协商不成的提交当地仲裁委员会仲裁。 </w:t>
      </w:r>
    </w:p>
    <w:p w14:paraId="5075E4D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九、合同组成 </w:t>
      </w:r>
    </w:p>
    <w:p w14:paraId="00CEA6E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1、中标通知书 </w:t>
      </w:r>
    </w:p>
    <w:p w14:paraId="3DF06E1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2、合同文件 </w:t>
      </w:r>
    </w:p>
    <w:p w14:paraId="0018ED6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3、国家相关规范及标准 </w:t>
      </w:r>
    </w:p>
    <w:p w14:paraId="730E73B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4、招标文件 </w:t>
      </w:r>
    </w:p>
    <w:p w14:paraId="5586A72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5、投标文件 </w:t>
      </w:r>
    </w:p>
    <w:p w14:paraId="2C970CC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十、合同生效及其它 </w:t>
      </w:r>
    </w:p>
    <w:p w14:paraId="604F9E6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1、合同未尽事宜、由买、卖双方协商，作为合同补充，与原合同具有同等法律效力。 </w:t>
      </w:r>
    </w:p>
    <w:p w14:paraId="0E9F60B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2、本合同正本一式    份，买卖双方分别执   份，监督部门备案   份。 </w:t>
      </w:r>
    </w:p>
    <w:p w14:paraId="70C9CEE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rPr>
      </w:pPr>
      <w:r>
        <w:rPr>
          <w:rFonts w:hint="eastAsia" w:ascii="仿宋" w:hAnsi="仿宋" w:eastAsia="仿宋" w:cs="仿宋"/>
          <w:b w:val="0"/>
          <w:bCs w:val="0"/>
          <w:lang w:val="en-US" w:eastAsia="zh-CN"/>
        </w:rPr>
        <w:t xml:space="preserve">3、合同经买卖双方共同签字盖章之日起生效，合同签订地点为      。 </w:t>
      </w:r>
    </w:p>
    <w:tbl>
      <w:tblPr>
        <w:tblStyle w:val="6"/>
        <w:tblpPr w:leftFromText="180" w:rightFromText="180" w:vertAnchor="text" w:horzAnchor="page" w:tblpXSpec="center" w:tblpY="946"/>
        <w:tblOverlap w:val="neve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5E3D0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4469" w:type="dxa"/>
            <w:tcBorders>
              <w:tl2br w:val="nil"/>
              <w:tr2bl w:val="nil"/>
            </w:tcBorders>
            <w:noWrap w:val="0"/>
            <w:vAlign w:val="top"/>
          </w:tcPr>
          <w:p w14:paraId="02B1340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kern w:val="2"/>
                <w:sz w:val="21"/>
                <w:vertAlign w:val="baseline"/>
                <w:lang w:val="en-US" w:eastAsia="zh-CN" w:bidi="ar-SA"/>
              </w:rPr>
            </w:pPr>
            <w:r>
              <w:rPr>
                <w:rFonts w:hint="eastAsia" w:ascii="仿宋" w:hAnsi="仿宋" w:eastAsia="仿宋" w:cs="仿宋"/>
                <w:b w:val="0"/>
                <w:bCs w:val="0"/>
                <w:lang w:val="en-US" w:eastAsia="zh-CN"/>
              </w:rPr>
              <w:t xml:space="preserve">买方名称：西安市临潼区教育局（公章） </w:t>
            </w:r>
          </w:p>
        </w:tc>
        <w:tc>
          <w:tcPr>
            <w:tcW w:w="4470" w:type="dxa"/>
            <w:tcBorders>
              <w:tl2br w:val="nil"/>
              <w:tr2bl w:val="nil"/>
            </w:tcBorders>
            <w:noWrap w:val="0"/>
            <w:vAlign w:val="top"/>
          </w:tcPr>
          <w:p w14:paraId="4894BD9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vertAlign w:val="baseline"/>
                <w:lang w:val="en-US" w:eastAsia="zh-CN"/>
              </w:rPr>
            </w:pPr>
            <w:r>
              <w:rPr>
                <w:rFonts w:hint="eastAsia" w:ascii="仿宋" w:hAnsi="仿宋" w:eastAsia="仿宋" w:cs="仿宋"/>
                <w:b w:val="0"/>
                <w:bCs w:val="0"/>
                <w:lang w:val="en-US" w:eastAsia="zh-CN"/>
              </w:rPr>
              <w:t xml:space="preserve">卖方名称：（公章） </w:t>
            </w:r>
          </w:p>
        </w:tc>
      </w:tr>
      <w:tr w14:paraId="5A2F9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4469" w:type="dxa"/>
            <w:tcBorders>
              <w:tl2br w:val="nil"/>
              <w:tr2bl w:val="nil"/>
            </w:tcBorders>
            <w:noWrap w:val="0"/>
            <w:vAlign w:val="top"/>
          </w:tcPr>
          <w:p w14:paraId="3B564AC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kern w:val="2"/>
                <w:sz w:val="21"/>
                <w:vertAlign w:val="baseline"/>
                <w:lang w:val="en-US" w:eastAsia="zh-CN" w:bidi="ar-SA"/>
              </w:rPr>
            </w:pPr>
            <w:r>
              <w:rPr>
                <w:rFonts w:hint="eastAsia" w:ascii="仿宋" w:hAnsi="仿宋" w:eastAsia="仿宋" w:cs="仿宋"/>
                <w:b w:val="0"/>
                <w:bCs w:val="0"/>
                <w:lang w:val="en-US" w:eastAsia="zh-CN"/>
              </w:rPr>
              <w:t xml:space="preserve">地 址：临潼区人民东路55号 </w:t>
            </w:r>
          </w:p>
        </w:tc>
        <w:tc>
          <w:tcPr>
            <w:tcW w:w="4470" w:type="dxa"/>
            <w:tcBorders>
              <w:tl2br w:val="nil"/>
              <w:tr2bl w:val="nil"/>
            </w:tcBorders>
            <w:noWrap w:val="0"/>
            <w:vAlign w:val="top"/>
          </w:tcPr>
          <w:p w14:paraId="22D19FD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vertAlign w:val="baseline"/>
                <w:lang w:val="en-US" w:eastAsia="zh-CN"/>
              </w:rPr>
            </w:pPr>
            <w:r>
              <w:rPr>
                <w:rFonts w:hint="eastAsia" w:ascii="仿宋" w:hAnsi="仿宋" w:eastAsia="仿宋" w:cs="仿宋"/>
                <w:b w:val="0"/>
                <w:bCs w:val="0"/>
                <w:lang w:val="en-US" w:eastAsia="zh-CN"/>
              </w:rPr>
              <w:t xml:space="preserve">地 址： </w:t>
            </w:r>
          </w:p>
        </w:tc>
      </w:tr>
      <w:tr w14:paraId="06956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4469" w:type="dxa"/>
            <w:tcBorders>
              <w:tl2br w:val="nil"/>
              <w:tr2bl w:val="nil"/>
            </w:tcBorders>
            <w:noWrap w:val="0"/>
            <w:vAlign w:val="top"/>
          </w:tcPr>
          <w:p w14:paraId="2C82EF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kern w:val="2"/>
                <w:sz w:val="21"/>
                <w:vertAlign w:val="baseline"/>
                <w:lang w:val="en-US" w:eastAsia="zh-CN" w:bidi="ar-SA"/>
              </w:rPr>
            </w:pPr>
            <w:r>
              <w:rPr>
                <w:rFonts w:hint="eastAsia" w:ascii="仿宋" w:hAnsi="仿宋" w:eastAsia="仿宋" w:cs="仿宋"/>
                <w:b w:val="0"/>
                <w:bCs w:val="0"/>
                <w:lang w:val="en-US" w:eastAsia="zh-CN"/>
              </w:rPr>
              <w:t xml:space="preserve">邮 编： </w:t>
            </w:r>
          </w:p>
        </w:tc>
        <w:tc>
          <w:tcPr>
            <w:tcW w:w="4470" w:type="dxa"/>
            <w:tcBorders>
              <w:tl2br w:val="nil"/>
              <w:tr2bl w:val="nil"/>
            </w:tcBorders>
            <w:noWrap w:val="0"/>
            <w:vAlign w:val="top"/>
          </w:tcPr>
          <w:p w14:paraId="5D1DC47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vertAlign w:val="baseline"/>
                <w:lang w:val="en-US" w:eastAsia="zh-CN"/>
              </w:rPr>
            </w:pPr>
            <w:r>
              <w:rPr>
                <w:rFonts w:hint="eastAsia" w:ascii="仿宋" w:hAnsi="仿宋" w:eastAsia="仿宋" w:cs="仿宋"/>
                <w:b w:val="0"/>
                <w:bCs w:val="0"/>
                <w:lang w:val="en-US" w:eastAsia="zh-CN"/>
              </w:rPr>
              <w:t xml:space="preserve">邮 编： </w:t>
            </w:r>
          </w:p>
        </w:tc>
      </w:tr>
      <w:tr w14:paraId="70E19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4469" w:type="dxa"/>
            <w:tcBorders>
              <w:tl2br w:val="nil"/>
              <w:tr2bl w:val="nil"/>
            </w:tcBorders>
            <w:noWrap w:val="0"/>
            <w:vAlign w:val="top"/>
          </w:tcPr>
          <w:p w14:paraId="7B35383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vertAlign w:val="baseline"/>
                <w:lang w:val="en-US" w:eastAsia="zh-CN"/>
              </w:rPr>
            </w:pPr>
            <w:r>
              <w:rPr>
                <w:rFonts w:hint="eastAsia" w:ascii="仿宋" w:hAnsi="仿宋" w:eastAsia="仿宋" w:cs="仿宋"/>
                <w:b w:val="0"/>
                <w:bCs w:val="0"/>
                <w:lang w:val="en-US" w:eastAsia="zh-CN"/>
              </w:rPr>
              <w:t xml:space="preserve">电 话： </w:t>
            </w:r>
          </w:p>
        </w:tc>
        <w:tc>
          <w:tcPr>
            <w:tcW w:w="4470" w:type="dxa"/>
            <w:tcBorders>
              <w:tl2br w:val="nil"/>
              <w:tr2bl w:val="nil"/>
            </w:tcBorders>
            <w:noWrap w:val="0"/>
            <w:vAlign w:val="top"/>
          </w:tcPr>
          <w:p w14:paraId="243288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vertAlign w:val="baseline"/>
                <w:lang w:val="en-US" w:eastAsia="zh-CN"/>
              </w:rPr>
            </w:pPr>
            <w:r>
              <w:rPr>
                <w:rFonts w:hint="eastAsia" w:ascii="仿宋" w:hAnsi="仿宋" w:eastAsia="仿宋" w:cs="仿宋"/>
                <w:b w:val="0"/>
                <w:bCs w:val="0"/>
                <w:lang w:val="en-US" w:eastAsia="zh-CN"/>
              </w:rPr>
              <w:t xml:space="preserve">电 话： </w:t>
            </w:r>
          </w:p>
        </w:tc>
      </w:tr>
      <w:tr w14:paraId="19B70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4469" w:type="dxa"/>
            <w:tcBorders>
              <w:tl2br w:val="nil"/>
              <w:tr2bl w:val="nil"/>
            </w:tcBorders>
            <w:noWrap w:val="0"/>
            <w:vAlign w:val="top"/>
          </w:tcPr>
          <w:p w14:paraId="7B92655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vertAlign w:val="baseline"/>
                <w:lang w:val="en-US" w:eastAsia="zh-CN"/>
              </w:rPr>
            </w:pPr>
            <w:r>
              <w:rPr>
                <w:rFonts w:hint="eastAsia" w:ascii="仿宋" w:hAnsi="仿宋" w:eastAsia="仿宋" w:cs="仿宋"/>
                <w:b w:val="0"/>
                <w:bCs w:val="0"/>
                <w:lang w:val="en-US" w:eastAsia="zh-CN"/>
              </w:rPr>
              <w:t xml:space="preserve">传 真： </w:t>
            </w:r>
          </w:p>
        </w:tc>
        <w:tc>
          <w:tcPr>
            <w:tcW w:w="4470" w:type="dxa"/>
            <w:tcBorders>
              <w:tl2br w:val="nil"/>
              <w:tr2bl w:val="nil"/>
            </w:tcBorders>
            <w:noWrap w:val="0"/>
            <w:vAlign w:val="top"/>
          </w:tcPr>
          <w:p w14:paraId="4E1D3F9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vertAlign w:val="baseline"/>
                <w:lang w:val="en-US" w:eastAsia="zh-CN"/>
              </w:rPr>
            </w:pPr>
            <w:r>
              <w:rPr>
                <w:rFonts w:hint="eastAsia" w:ascii="仿宋" w:hAnsi="仿宋" w:eastAsia="仿宋" w:cs="仿宋"/>
                <w:b w:val="0"/>
                <w:bCs w:val="0"/>
                <w:lang w:val="en-US" w:eastAsia="zh-CN"/>
              </w:rPr>
              <w:t xml:space="preserve">传 真： </w:t>
            </w:r>
          </w:p>
        </w:tc>
      </w:tr>
      <w:tr w14:paraId="3F902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4469" w:type="dxa"/>
            <w:tcBorders>
              <w:tl2br w:val="nil"/>
              <w:tr2bl w:val="nil"/>
            </w:tcBorders>
            <w:noWrap w:val="0"/>
            <w:vAlign w:val="top"/>
          </w:tcPr>
          <w:p w14:paraId="78252A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vertAlign w:val="baseline"/>
                <w:lang w:val="en-US" w:eastAsia="zh-CN"/>
              </w:rPr>
            </w:pPr>
          </w:p>
        </w:tc>
        <w:tc>
          <w:tcPr>
            <w:tcW w:w="4470" w:type="dxa"/>
            <w:tcBorders>
              <w:tl2br w:val="nil"/>
              <w:tr2bl w:val="nil"/>
            </w:tcBorders>
            <w:noWrap w:val="0"/>
            <w:vAlign w:val="top"/>
          </w:tcPr>
          <w:p w14:paraId="32DEA51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vertAlign w:val="baseline"/>
                <w:lang w:val="en-US" w:eastAsia="zh-CN"/>
              </w:rPr>
            </w:pPr>
            <w:r>
              <w:rPr>
                <w:rFonts w:hint="eastAsia" w:ascii="仿宋" w:hAnsi="仿宋" w:eastAsia="仿宋" w:cs="仿宋"/>
                <w:b w:val="0"/>
                <w:bCs w:val="0"/>
                <w:lang w:val="en-US" w:eastAsia="zh-CN"/>
              </w:rPr>
              <w:t xml:space="preserve">开户银行： </w:t>
            </w:r>
          </w:p>
        </w:tc>
      </w:tr>
      <w:tr w14:paraId="28AAE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4469" w:type="dxa"/>
            <w:tcBorders>
              <w:tl2br w:val="nil"/>
              <w:tr2bl w:val="nil"/>
            </w:tcBorders>
            <w:noWrap w:val="0"/>
            <w:vAlign w:val="top"/>
          </w:tcPr>
          <w:p w14:paraId="2F3289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vertAlign w:val="baseline"/>
                <w:lang w:val="en-US" w:eastAsia="zh-CN"/>
              </w:rPr>
            </w:pPr>
          </w:p>
        </w:tc>
        <w:tc>
          <w:tcPr>
            <w:tcW w:w="4470" w:type="dxa"/>
            <w:tcBorders>
              <w:tl2br w:val="nil"/>
              <w:tr2bl w:val="nil"/>
            </w:tcBorders>
            <w:noWrap w:val="0"/>
            <w:vAlign w:val="top"/>
          </w:tcPr>
          <w:p w14:paraId="476F55B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vertAlign w:val="baseline"/>
                <w:lang w:val="en-US" w:eastAsia="zh-CN"/>
              </w:rPr>
            </w:pPr>
            <w:r>
              <w:rPr>
                <w:rFonts w:hint="eastAsia" w:ascii="仿宋" w:hAnsi="仿宋" w:eastAsia="仿宋" w:cs="仿宋"/>
                <w:b w:val="0"/>
                <w:bCs w:val="0"/>
                <w:lang w:val="en-US" w:eastAsia="zh-CN"/>
              </w:rPr>
              <w:t xml:space="preserve">帐 号： </w:t>
            </w:r>
          </w:p>
        </w:tc>
      </w:tr>
      <w:tr w14:paraId="15A2D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4469" w:type="dxa"/>
            <w:tcBorders>
              <w:tl2br w:val="nil"/>
              <w:tr2bl w:val="nil"/>
            </w:tcBorders>
            <w:noWrap w:val="0"/>
            <w:vAlign w:val="top"/>
          </w:tcPr>
          <w:p w14:paraId="1BE7AE9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kern w:val="2"/>
                <w:sz w:val="21"/>
                <w:vertAlign w:val="baseline"/>
                <w:lang w:val="en-US" w:eastAsia="zh-CN" w:bidi="ar-SA"/>
              </w:rPr>
            </w:pPr>
            <w:r>
              <w:rPr>
                <w:rFonts w:hint="eastAsia" w:ascii="仿宋" w:hAnsi="仿宋" w:eastAsia="仿宋" w:cs="仿宋"/>
                <w:b w:val="0"/>
                <w:bCs w:val="0"/>
                <w:lang w:val="en-US" w:eastAsia="zh-CN"/>
              </w:rPr>
              <w:t xml:space="preserve">代表签字： </w:t>
            </w:r>
          </w:p>
        </w:tc>
        <w:tc>
          <w:tcPr>
            <w:tcW w:w="4470" w:type="dxa"/>
            <w:tcBorders>
              <w:tl2br w:val="nil"/>
              <w:tr2bl w:val="nil"/>
            </w:tcBorders>
            <w:noWrap w:val="0"/>
            <w:vAlign w:val="top"/>
          </w:tcPr>
          <w:p w14:paraId="46FE38F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lang w:val="en-US" w:eastAsia="zh-CN"/>
              </w:rPr>
            </w:pPr>
            <w:r>
              <w:rPr>
                <w:rFonts w:hint="eastAsia" w:ascii="仿宋" w:hAnsi="仿宋" w:eastAsia="仿宋" w:cs="仿宋"/>
                <w:b w:val="0"/>
                <w:bCs w:val="0"/>
                <w:lang w:val="en-US" w:eastAsia="zh-CN"/>
              </w:rPr>
              <w:t xml:space="preserve">代表签字： </w:t>
            </w:r>
          </w:p>
        </w:tc>
      </w:tr>
      <w:tr w14:paraId="637AB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4469" w:type="dxa"/>
            <w:tcBorders>
              <w:tl2br w:val="nil"/>
              <w:tr2bl w:val="nil"/>
            </w:tcBorders>
            <w:noWrap w:val="0"/>
            <w:vAlign w:val="top"/>
          </w:tcPr>
          <w:p w14:paraId="341B020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kern w:val="2"/>
                <w:sz w:val="21"/>
                <w:vertAlign w:val="baseline"/>
                <w:lang w:val="en-US" w:eastAsia="zh-CN" w:bidi="ar-SA"/>
              </w:rPr>
            </w:pPr>
            <w:r>
              <w:rPr>
                <w:rFonts w:hint="eastAsia" w:ascii="仿宋" w:hAnsi="仿宋" w:eastAsia="仿宋" w:cs="仿宋"/>
                <w:b w:val="0"/>
                <w:bCs w:val="0"/>
                <w:lang w:val="en-US" w:eastAsia="zh-CN"/>
              </w:rPr>
              <w:t>日 期：   年    月    日</w:t>
            </w:r>
          </w:p>
        </w:tc>
        <w:tc>
          <w:tcPr>
            <w:tcW w:w="4470" w:type="dxa"/>
            <w:tcBorders>
              <w:tl2br w:val="nil"/>
              <w:tr2bl w:val="nil"/>
            </w:tcBorders>
            <w:noWrap w:val="0"/>
            <w:vAlign w:val="top"/>
          </w:tcPr>
          <w:p w14:paraId="527FCF8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lang w:val="en-US" w:eastAsia="zh-CN"/>
              </w:rPr>
            </w:pPr>
            <w:r>
              <w:rPr>
                <w:rFonts w:hint="eastAsia" w:ascii="仿宋" w:hAnsi="仿宋" w:eastAsia="仿宋" w:cs="仿宋"/>
                <w:b w:val="0"/>
                <w:bCs w:val="0"/>
                <w:lang w:val="en-US" w:eastAsia="zh-CN"/>
              </w:rPr>
              <w:t>日 期：   年    月    日</w:t>
            </w:r>
          </w:p>
          <w:p w14:paraId="3BAFF550">
            <w:pPr>
              <w:pStyle w:val="2"/>
              <w:rPr>
                <w:rFonts w:hint="eastAsia"/>
                <w:lang w:val="en-US" w:eastAsia="zh-CN"/>
              </w:rPr>
            </w:pPr>
          </w:p>
          <w:p w14:paraId="6885B390">
            <w:pPr>
              <w:rPr>
                <w:rFonts w:hint="eastAsia"/>
                <w:lang w:val="en-US" w:eastAsia="zh-CN"/>
              </w:rPr>
            </w:pPr>
          </w:p>
        </w:tc>
      </w:tr>
    </w:tbl>
    <w:p w14:paraId="78C115E9">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lang w:val="en-US" w:eastAsia="zh-CN"/>
        </w:rPr>
      </w:pPr>
      <w:r>
        <w:rPr>
          <w:rFonts w:hint="eastAsia" w:ascii="仿宋" w:hAnsi="仿宋" w:eastAsia="仿宋" w:cs="仿宋"/>
          <w:b w:val="0"/>
          <w:bCs w:val="0"/>
          <w:lang w:val="en-US" w:eastAsia="zh-CN"/>
        </w:rPr>
        <w:t>生效时间：  年   月   日</w:t>
      </w:r>
    </w:p>
    <w:p w14:paraId="0AFB705D">
      <w:pPr>
        <w:pStyle w:val="8"/>
        <w:rPr>
          <w:rFonts w:hint="eastAsia" w:ascii="仿宋" w:hAnsi="仿宋" w:eastAsia="仿宋" w:cs="仿宋"/>
          <w:lang w:val="en-US" w:eastAsia="zh-Hans"/>
        </w:rPr>
      </w:pPr>
    </w:p>
    <w:p w14:paraId="46B14B76"/>
    <w:p w14:paraId="755A914C">
      <w:pPr>
        <w:outlineLvl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54E3AC"/>
    <w:multiLevelType w:val="singleLevel"/>
    <w:tmpl w:val="DD54E3AC"/>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1018A7"/>
    <w:rsid w:val="1C8A5833"/>
    <w:rsid w:val="2A5D4C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jc w:val="center"/>
      <w:outlineLvl w:val="0"/>
    </w:pPr>
    <w:rPr>
      <w:rFonts w:ascii="宋体" w:hAnsi="宋体"/>
      <w:b/>
      <w:sz w:val="36"/>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jc w:val="center"/>
    </w:p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10952</Words>
  <Characters>11220</Characters>
  <Lines>0</Lines>
  <Paragraphs>0</Paragraphs>
  <TotalTime>0</TotalTime>
  <ScaleCrop>false</ScaleCrop>
  <LinksUpToDate>false</LinksUpToDate>
  <CharactersWithSpaces>11868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2025-08-01T10:54:00Z</dcterms:created>
  <dc:creator>机会</dc:creator>
  <cp:lastModifiedBy>Õ兔宝宝</cp:lastModifiedBy>
  <dcterms:modified xsi:type="dcterms:W3CDTF">2025-08-04T01:48:05Z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eyJoZGlkIjoiMDVhZjljNTUyMGM2ZDhkN2YyMzU1Nzk2MDQwOTVmZjkiLCJ1c2VySWQiOiIyOTg5MDk0MTEifQ==</vt:lpwstr>
  </property>
  <property fmtid="{D5CDD505-2E9C-101B-9397-08002B2CF9AE}" pid="4" name="ICV">
    <vt:lpwstr>828838A0E4454437B91335310D3DF498_12</vt:lpwstr>
  </property>
</Properties>
</file>