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FA2880">
      <w:pPr>
        <w:pStyle w:val="4"/>
        <w:spacing w:line="360" w:lineRule="auto"/>
        <w:rPr>
          <w:rFonts w:ascii="宋体" w:hAnsi="宋体" w:cs="宋体"/>
          <w:color w:val="auto"/>
          <w:sz w:val="24"/>
        </w:rPr>
      </w:pPr>
      <w:r>
        <w:rPr>
          <w:rFonts w:hint="eastAsia" w:ascii="宋体" w:hAnsi="宋体" w:cs="宋体"/>
          <w:b/>
          <w:bCs/>
          <w:color w:val="auto"/>
          <w:sz w:val="24"/>
        </w:rPr>
        <w:t>合同格式（参考）</w:t>
      </w:r>
    </w:p>
    <w:p w14:paraId="5A54432A">
      <w:pPr>
        <w:spacing w:line="360" w:lineRule="auto"/>
        <w:rPr>
          <w:rFonts w:ascii="宋体" w:hAnsi="宋体" w:cs="宋体"/>
          <w:color w:val="auto"/>
          <w:sz w:val="24"/>
        </w:rPr>
      </w:pPr>
    </w:p>
    <w:p w14:paraId="2968D6C3">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甲方（采购人）：_____________________________________</w:t>
      </w:r>
    </w:p>
    <w:p w14:paraId="532E3E91">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lang w:val="en-US" w:eastAsia="zh-CN"/>
        </w:rPr>
        <w:t>地址</w:t>
      </w:r>
      <w:r>
        <w:rPr>
          <w:rFonts w:hint="eastAsia" w:ascii="宋体" w:hAnsi="宋体" w:eastAsia="宋体" w:cs="宋体"/>
          <w:b/>
          <w:sz w:val="24"/>
          <w:szCs w:val="24"/>
        </w:rPr>
        <w:t>：___________________________________________</w:t>
      </w:r>
    </w:p>
    <w:p w14:paraId="54854BB8">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乙方（中标供应商）：_________________________________</w:t>
      </w:r>
    </w:p>
    <w:p w14:paraId="103B9141">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lang w:val="en-US" w:eastAsia="zh-CN"/>
        </w:rPr>
        <w:t>地址</w:t>
      </w:r>
      <w:r>
        <w:rPr>
          <w:rFonts w:hint="eastAsia" w:ascii="宋体" w:hAnsi="宋体" w:eastAsia="宋体" w:cs="宋体"/>
          <w:b/>
          <w:sz w:val="24"/>
          <w:szCs w:val="24"/>
        </w:rPr>
        <w:t>：___________________________________________</w:t>
      </w:r>
    </w:p>
    <w:p w14:paraId="58695324">
      <w:pPr>
        <w:spacing w:line="360" w:lineRule="auto"/>
        <w:ind w:firstLine="480" w:firstLineChars="200"/>
        <w:jc w:val="both"/>
        <w:rPr>
          <w:rFonts w:hint="eastAsia" w:ascii="宋体" w:hAnsi="宋体" w:eastAsia="宋体" w:cs="宋体"/>
          <w:color w:val="7030A0"/>
          <w:sz w:val="24"/>
          <w:szCs w:val="24"/>
        </w:rPr>
      </w:pPr>
    </w:p>
    <w:p w14:paraId="512AF024">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根据《中华人民共和国政府采购法》及实施条例、《中华人民共和国民法典》和</w:t>
      </w:r>
      <w:r>
        <w:rPr>
          <w:rFonts w:hint="eastAsia" w:ascii="宋体" w:hAnsi="宋体" w:eastAsia="宋体" w:cs="宋体"/>
          <w:color w:val="000000"/>
          <w:sz w:val="24"/>
          <w:szCs w:val="24"/>
          <w:u w:val="single"/>
        </w:rPr>
        <w:t>〈项目名称〉</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〈项目编号〉</w:t>
      </w:r>
      <w:r>
        <w:rPr>
          <w:rFonts w:hint="eastAsia" w:ascii="宋体" w:hAnsi="宋体" w:eastAsia="宋体" w:cs="宋体"/>
          <w:color w:val="000000"/>
          <w:sz w:val="24"/>
          <w:szCs w:val="24"/>
        </w:rPr>
        <w:t>）</w:t>
      </w:r>
      <w:r>
        <w:rPr>
          <w:rFonts w:hint="eastAsia" w:ascii="宋体" w:hAnsi="宋体" w:eastAsia="宋体" w:cs="宋体"/>
          <w:sz w:val="24"/>
          <w:szCs w:val="24"/>
        </w:rPr>
        <w:t>的招标文件、投标文件等有关规定，为确保甲方采购项目的顺利实施，甲、乙双方在平等自愿原则下签订本合同，并共同遵守如下条款：</w:t>
      </w:r>
    </w:p>
    <w:p w14:paraId="5CDFE489">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第一条　项目基本情况</w:t>
      </w:r>
    </w:p>
    <w:p w14:paraId="2B60504C">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1．采购标的：</w:t>
      </w:r>
    </w:p>
    <w:p w14:paraId="770B7FBF">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2．数量：</w:t>
      </w:r>
    </w:p>
    <w:p w14:paraId="79D1443F">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第二条　履约期限、地点及方式</w:t>
      </w:r>
    </w:p>
    <w:p w14:paraId="5F4D6C1D">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1．履约期限：</w:t>
      </w:r>
      <w:r>
        <w:rPr>
          <w:rFonts w:hint="eastAsia" w:ascii="宋体" w:hAnsi="宋体" w:eastAsia="宋体" w:cs="宋体"/>
          <w:sz w:val="24"/>
          <w:szCs w:val="24"/>
          <w:lang w:val="en-US" w:eastAsia="zh-CN"/>
        </w:rPr>
        <w:t xml:space="preserve">合同签订之日起至成果通过部省市级核查。合同签订后一年，在后期项目实施阶段采购人可根据《政府购买服务管理办法》（财政部令第102号）文件的规定，在费用不变，合同内容不变，且符合合同服务内容和要求，量化考核达标的情况下，为了保证服务工作的延续性，可进行续签，续签合同期限不超过两年。 </w:t>
      </w:r>
      <w:bookmarkStart w:id="0" w:name="_GoBack"/>
      <w:bookmarkEnd w:id="0"/>
    </w:p>
    <w:p w14:paraId="6846167E">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2．履约地点：</w:t>
      </w:r>
    </w:p>
    <w:p w14:paraId="100FE7E8">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3．履约方式：</w:t>
      </w:r>
    </w:p>
    <w:p w14:paraId="0DDC78A2">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第三条　质量标准</w:t>
      </w:r>
    </w:p>
    <w:p w14:paraId="7DB4856C">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整个项目应符合国家有关行业规范和标准，包括但不限于：</w:t>
      </w:r>
    </w:p>
    <w:p w14:paraId="74ED1A05">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w:t>
      </w:r>
    </w:p>
    <w:p w14:paraId="767573F0">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w:t>
      </w:r>
    </w:p>
    <w:p w14:paraId="16D191CE">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第四条　合同价款及支付方式</w:t>
      </w:r>
    </w:p>
    <w:p w14:paraId="02003B69">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1．合同价款包括：</w:t>
      </w:r>
    </w:p>
    <w:p w14:paraId="03542569">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2．支付方式：</w:t>
      </w:r>
    </w:p>
    <w:p w14:paraId="320445BE">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3．结算方式：银行转账。</w:t>
      </w:r>
    </w:p>
    <w:p w14:paraId="16F5AFCE">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4．结算单位：由甲方负责结算，乙方须向甲方出具合法有效的完税发票，甲方进行支付结算。</w:t>
      </w:r>
    </w:p>
    <w:p w14:paraId="164C9CFD">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第五条　验收标准及条件</w:t>
      </w:r>
    </w:p>
    <w:p w14:paraId="7E208FF8">
      <w:pPr>
        <w:pStyle w:val="9"/>
        <w:spacing w:line="360" w:lineRule="auto"/>
        <w:ind w:firstLine="480"/>
        <w:rPr>
          <w:rFonts w:hint="eastAsia" w:ascii="宋体" w:hAnsi="宋体" w:eastAsia="宋体" w:cs="宋体"/>
          <w:sz w:val="24"/>
          <w:szCs w:val="24"/>
        </w:rPr>
      </w:pPr>
      <w:r>
        <w:rPr>
          <w:rFonts w:hint="eastAsia" w:ascii="宋体" w:hAnsi="宋体" w:eastAsia="宋体" w:cs="宋体"/>
          <w:sz w:val="24"/>
          <w:szCs w:val="24"/>
        </w:rPr>
        <w:t>1．初步验收：</w:t>
      </w:r>
    </w:p>
    <w:p w14:paraId="351AB1E6">
      <w:pPr>
        <w:pStyle w:val="9"/>
        <w:spacing w:line="360" w:lineRule="auto"/>
        <w:ind w:firstLine="480"/>
        <w:rPr>
          <w:rFonts w:hint="eastAsia" w:ascii="宋体" w:hAnsi="宋体" w:eastAsia="宋体" w:cs="宋体"/>
          <w:sz w:val="24"/>
          <w:szCs w:val="24"/>
        </w:rPr>
      </w:pPr>
      <w:r>
        <w:rPr>
          <w:rFonts w:hint="eastAsia" w:ascii="宋体" w:hAnsi="宋体" w:eastAsia="宋体" w:cs="宋体"/>
          <w:sz w:val="24"/>
          <w:szCs w:val="24"/>
        </w:rPr>
        <w:t>2．最终验收：</w:t>
      </w:r>
    </w:p>
    <w:p w14:paraId="729D5983">
      <w:pPr>
        <w:pStyle w:val="9"/>
        <w:spacing w:line="360" w:lineRule="auto"/>
        <w:ind w:firstLine="480"/>
        <w:rPr>
          <w:rFonts w:hint="eastAsia" w:ascii="宋体" w:hAnsi="宋体" w:eastAsia="宋体" w:cs="宋体"/>
          <w:sz w:val="24"/>
          <w:szCs w:val="24"/>
        </w:rPr>
      </w:pPr>
      <w:r>
        <w:rPr>
          <w:rFonts w:hint="eastAsia" w:ascii="宋体" w:hAnsi="宋体" w:eastAsia="宋体" w:cs="宋体"/>
          <w:sz w:val="24"/>
          <w:szCs w:val="24"/>
        </w:rPr>
        <w:t>3．验收依据：</w:t>
      </w:r>
    </w:p>
    <w:p w14:paraId="4B1710D0">
      <w:pPr>
        <w:pStyle w:val="9"/>
        <w:spacing w:line="360" w:lineRule="auto"/>
        <w:ind w:firstLine="480"/>
        <w:rPr>
          <w:rFonts w:hint="eastAsia" w:ascii="宋体" w:hAnsi="宋体" w:eastAsia="宋体" w:cs="宋体"/>
          <w:sz w:val="24"/>
          <w:szCs w:val="24"/>
        </w:rPr>
      </w:pPr>
      <w:r>
        <w:rPr>
          <w:rFonts w:hint="eastAsia" w:ascii="宋体" w:hAnsi="宋体" w:eastAsia="宋体" w:cs="宋体"/>
          <w:sz w:val="24"/>
          <w:szCs w:val="24"/>
        </w:rPr>
        <w:t>（1）招标文件、投标文件、澄清表（函）；</w:t>
      </w:r>
    </w:p>
    <w:p w14:paraId="08580BDF">
      <w:pPr>
        <w:pStyle w:val="9"/>
        <w:spacing w:line="360" w:lineRule="auto"/>
        <w:ind w:firstLine="480"/>
        <w:rPr>
          <w:rFonts w:hint="eastAsia" w:ascii="宋体" w:hAnsi="宋体" w:eastAsia="宋体" w:cs="宋体"/>
          <w:sz w:val="24"/>
          <w:szCs w:val="24"/>
        </w:rPr>
      </w:pPr>
      <w:r>
        <w:rPr>
          <w:rFonts w:hint="eastAsia" w:ascii="宋体" w:hAnsi="宋体" w:eastAsia="宋体" w:cs="宋体"/>
          <w:sz w:val="24"/>
          <w:szCs w:val="24"/>
        </w:rPr>
        <w:t>（2）本合同及附件文本；</w:t>
      </w:r>
    </w:p>
    <w:p w14:paraId="2FFE5A9B">
      <w:pPr>
        <w:pStyle w:val="9"/>
        <w:spacing w:line="360" w:lineRule="auto"/>
        <w:ind w:firstLine="480"/>
        <w:rPr>
          <w:rFonts w:hint="eastAsia" w:ascii="宋体" w:hAnsi="宋体" w:eastAsia="宋体" w:cs="宋体"/>
          <w:sz w:val="24"/>
          <w:szCs w:val="24"/>
        </w:rPr>
      </w:pPr>
      <w:r>
        <w:rPr>
          <w:rFonts w:hint="eastAsia" w:ascii="宋体" w:hAnsi="宋体" w:eastAsia="宋体" w:cs="宋体"/>
          <w:sz w:val="24"/>
          <w:szCs w:val="24"/>
        </w:rPr>
        <w:t>（3）合同签订时国家及行业现行的标准和技术规范。</w:t>
      </w:r>
    </w:p>
    <w:p w14:paraId="016B2F86">
      <w:pPr>
        <w:pStyle w:val="9"/>
        <w:spacing w:line="360" w:lineRule="auto"/>
        <w:ind w:firstLine="480"/>
        <w:rPr>
          <w:rFonts w:hint="eastAsia" w:ascii="宋体" w:hAnsi="宋体" w:eastAsia="宋体" w:cs="宋体"/>
          <w:sz w:val="24"/>
          <w:szCs w:val="24"/>
        </w:rPr>
      </w:pPr>
      <w:r>
        <w:rPr>
          <w:rFonts w:hint="eastAsia" w:ascii="宋体" w:hAnsi="宋体" w:eastAsia="宋体" w:cs="宋体"/>
          <w:sz w:val="24"/>
          <w:szCs w:val="24"/>
        </w:rPr>
        <w:t>4．中标供应商应向采购人提交项目实施过程中的所有资料，以便采购人日后管理和维护。</w:t>
      </w:r>
    </w:p>
    <w:p w14:paraId="66A2A8B1">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w:t>
      </w:r>
      <w:r>
        <w:rPr>
          <w:rFonts w:hint="eastAsia" w:ascii="宋体" w:hAnsi="宋体" w:eastAsia="宋体" w:cs="宋体"/>
          <w:b/>
          <w:sz w:val="24"/>
          <w:szCs w:val="24"/>
          <w:lang w:val="en-US" w:eastAsia="zh-CN"/>
        </w:rPr>
        <w:t>六</w:t>
      </w:r>
      <w:r>
        <w:rPr>
          <w:rFonts w:hint="eastAsia" w:ascii="宋体" w:hAnsi="宋体" w:eastAsia="宋体" w:cs="宋体"/>
          <w:b/>
          <w:sz w:val="24"/>
          <w:szCs w:val="24"/>
        </w:rPr>
        <w:t>条　双方的权利和义务</w:t>
      </w:r>
    </w:p>
    <w:p w14:paraId="0D6105EF">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（一）甲方的权利和义务</w:t>
      </w:r>
    </w:p>
    <w:p w14:paraId="09AE73B3">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2AE862AF">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2．甲方有权依据双方签订的考评办法对乙方提供的服务进行定期考评。</w:t>
      </w:r>
    </w:p>
    <w:p w14:paraId="3A2F4F25">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3．负责检查监督乙方管理工作的实施及制度的执行情况。</w:t>
      </w:r>
    </w:p>
    <w:p w14:paraId="2341A615">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4．根据本合同规定，按时向乙方支付应付服务费用。</w:t>
      </w:r>
    </w:p>
    <w:p w14:paraId="67C0874D">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5．验收应在甲方和乙方双方共同参加下进行。甲方组成验收小组按国家有关规定、规范进行验收，验收时将会邀请相关的专业人员或机构参与验收。</w:t>
      </w:r>
    </w:p>
    <w:p w14:paraId="5CAD6543">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6．国家法律、法规所规定由甲方承担的其它责任。</w:t>
      </w:r>
    </w:p>
    <w:p w14:paraId="5191BBC5">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（二）乙方的权利和义务</w:t>
      </w:r>
    </w:p>
    <w:p w14:paraId="01261A37">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1．对本合同规定的委托服务范围内的项目享有管理权及服务义务。</w:t>
      </w:r>
    </w:p>
    <w:p w14:paraId="108C7698">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2．根据本合同的规定向甲方收取相关服务费用，并有权在本项目管理范围内管理及合理使用。</w:t>
      </w:r>
    </w:p>
    <w:p w14:paraId="1026E8E0">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14:paraId="0A3137FA">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3340325E">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4BF8EF0B">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w:t>
      </w:r>
      <w:r>
        <w:rPr>
          <w:rFonts w:hint="eastAsia" w:ascii="宋体" w:hAnsi="宋体" w:eastAsia="宋体" w:cs="宋体"/>
          <w:b/>
          <w:sz w:val="24"/>
          <w:szCs w:val="24"/>
          <w:lang w:val="en-US" w:eastAsia="zh-CN"/>
        </w:rPr>
        <w:t>七</w:t>
      </w:r>
      <w:r>
        <w:rPr>
          <w:rFonts w:hint="eastAsia" w:ascii="宋体" w:hAnsi="宋体" w:eastAsia="宋体" w:cs="宋体"/>
          <w:b/>
          <w:sz w:val="24"/>
          <w:szCs w:val="24"/>
        </w:rPr>
        <w:t>条　违约责任</w:t>
      </w:r>
    </w:p>
    <w:p w14:paraId="36BF440F">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1．甲乙双方必须遵守本合同并执行合同中的各项规定，保证本合同的正常履行。</w:t>
      </w:r>
    </w:p>
    <w:p w14:paraId="5F66C230">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4C6FDA37">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w:t>
      </w:r>
      <w:r>
        <w:rPr>
          <w:rFonts w:hint="eastAsia" w:ascii="宋体" w:hAnsi="宋体" w:eastAsia="宋体" w:cs="宋体"/>
          <w:b/>
          <w:sz w:val="24"/>
          <w:szCs w:val="24"/>
          <w:lang w:val="en-US" w:eastAsia="zh-CN"/>
        </w:rPr>
        <w:t>八</w:t>
      </w:r>
      <w:r>
        <w:rPr>
          <w:rFonts w:hint="eastAsia" w:ascii="宋体" w:hAnsi="宋体" w:eastAsia="宋体" w:cs="宋体"/>
          <w:b/>
          <w:sz w:val="24"/>
          <w:szCs w:val="24"/>
        </w:rPr>
        <w:t>条　不可抗力事件处理</w:t>
      </w:r>
    </w:p>
    <w:p w14:paraId="766B3E3F">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4C9B3551">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07FDC50D">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3．不可抗力事件延续15个日历日以上，双方应通过友好协商，确定是否继续履行合同。</w:t>
      </w:r>
    </w:p>
    <w:p w14:paraId="71180C68">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w:t>
      </w:r>
      <w:r>
        <w:rPr>
          <w:rFonts w:hint="eastAsia" w:ascii="宋体" w:hAnsi="宋体" w:eastAsia="宋体" w:cs="宋体"/>
          <w:b/>
          <w:sz w:val="24"/>
          <w:szCs w:val="24"/>
          <w:lang w:val="en-US" w:eastAsia="zh-CN"/>
        </w:rPr>
        <w:t>九</w:t>
      </w:r>
      <w:r>
        <w:rPr>
          <w:rFonts w:hint="eastAsia" w:ascii="宋体" w:hAnsi="宋体" w:eastAsia="宋体" w:cs="宋体"/>
          <w:b/>
          <w:sz w:val="24"/>
          <w:szCs w:val="24"/>
        </w:rPr>
        <w:t>条　合同的变更和终止</w:t>
      </w:r>
    </w:p>
    <w:p w14:paraId="11CC21F6">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除《中华人民共和国政府采购法》第49条、第50条第二款规定的情形外，本合同一经签订，甲乙双方不得擅自变更、中止或终止合同。</w:t>
      </w:r>
    </w:p>
    <w:p w14:paraId="665A6B0A">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第十条　解决合同纠纷的方式</w:t>
      </w:r>
    </w:p>
    <w:p w14:paraId="5B881BDA">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1．在执行本合同中发生的或与本合同有关的争端，双方应通过友好协商解决，经协商在___天内不能达成协议时，则采取以下第___种方式解决争议：</w:t>
      </w:r>
    </w:p>
    <w:p w14:paraId="4CDFB11A">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（1）向甲方所在地有管辖权的人民法院提起诉讼；</w:t>
      </w:r>
    </w:p>
    <w:p w14:paraId="13DF0C33">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（2）向</w:t>
      </w:r>
      <w:r>
        <w:rPr>
          <w:rFonts w:hint="eastAsia" w:ascii="宋体" w:hAnsi="宋体" w:eastAsia="宋体" w:cs="宋体"/>
          <w:sz w:val="24"/>
          <w:szCs w:val="24"/>
          <w:u w:val="single"/>
          <w:lang w:val="en-US" w:eastAsia="zh-CN"/>
        </w:rPr>
        <w:t xml:space="preserve">     仲裁委员会</w:t>
      </w:r>
      <w:r>
        <w:rPr>
          <w:rFonts w:hint="eastAsia" w:ascii="宋体" w:hAnsi="宋体" w:eastAsia="宋体" w:cs="宋体"/>
          <w:sz w:val="24"/>
          <w:szCs w:val="24"/>
        </w:rPr>
        <w:t>按其仲裁规则申请仲裁。</w:t>
      </w:r>
    </w:p>
    <w:p w14:paraId="7A5EE4B3">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2．在仲裁期间，本合同应继续履行。</w:t>
      </w:r>
    </w:p>
    <w:p w14:paraId="6DD3F9EE">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第十</w:t>
      </w:r>
      <w:r>
        <w:rPr>
          <w:rFonts w:hint="eastAsia" w:ascii="宋体" w:hAnsi="宋体" w:eastAsia="宋体" w:cs="宋体"/>
          <w:b/>
          <w:sz w:val="24"/>
          <w:szCs w:val="24"/>
          <w:lang w:val="en-US" w:eastAsia="zh-CN"/>
        </w:rPr>
        <w:t>一</w:t>
      </w:r>
      <w:r>
        <w:rPr>
          <w:rFonts w:hint="eastAsia" w:ascii="宋体" w:hAnsi="宋体" w:eastAsia="宋体" w:cs="宋体"/>
          <w:b/>
          <w:sz w:val="24"/>
          <w:szCs w:val="24"/>
        </w:rPr>
        <w:t>条　合同生效及其他</w:t>
      </w:r>
    </w:p>
    <w:p w14:paraId="2BB09034">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1．合同经双方法定代表人（单位负责人）或授权委托代理人签名并加盖单位公章并由采购代理机构盖章后生效。</w:t>
      </w:r>
    </w:p>
    <w:p w14:paraId="35AB300F">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741B24BB">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3．本合同一式陆份，自双方签章之日起起效。甲方贰份，乙方贰份，政府采购代理机构壹份，同级财政部门备案壹份，具有同等法律效力。</w:t>
      </w:r>
    </w:p>
    <w:p w14:paraId="3FDE8BFE">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第十</w:t>
      </w:r>
      <w:r>
        <w:rPr>
          <w:rFonts w:hint="eastAsia" w:ascii="宋体" w:hAnsi="宋体" w:eastAsia="宋体" w:cs="宋体"/>
          <w:b/>
          <w:sz w:val="24"/>
          <w:szCs w:val="24"/>
          <w:lang w:val="en-US" w:eastAsia="zh-CN"/>
        </w:rPr>
        <w:t>二</w:t>
      </w:r>
      <w:r>
        <w:rPr>
          <w:rFonts w:hint="eastAsia" w:ascii="宋体" w:hAnsi="宋体" w:eastAsia="宋体" w:cs="宋体"/>
          <w:b/>
          <w:sz w:val="24"/>
          <w:szCs w:val="24"/>
        </w:rPr>
        <w:t>条　附件</w:t>
      </w:r>
    </w:p>
    <w:p w14:paraId="7A287502">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1．项目招标文件</w:t>
      </w:r>
    </w:p>
    <w:p w14:paraId="6B18A0D0">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2．项目修改澄清文件</w:t>
      </w:r>
    </w:p>
    <w:p w14:paraId="76552662">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3．项目投标文件</w:t>
      </w:r>
    </w:p>
    <w:p w14:paraId="37932E77">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4．成交通知书</w:t>
      </w:r>
    </w:p>
    <w:p w14:paraId="64B2D17A">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5．其他</w:t>
      </w:r>
    </w:p>
    <w:tbl>
      <w:tblPr>
        <w:tblStyle w:val="6"/>
        <w:tblW w:w="84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0"/>
        <w:gridCol w:w="4249"/>
      </w:tblGrid>
      <w:tr w14:paraId="1E73C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4250" w:type="dxa"/>
            <w:tcBorders>
              <w:top w:val="nil"/>
              <w:left w:val="nil"/>
              <w:bottom w:val="nil"/>
              <w:right w:val="nil"/>
            </w:tcBorders>
            <w:noWrap w:val="0"/>
            <w:vAlign w:val="top"/>
          </w:tcPr>
          <w:p w14:paraId="5ACE1494">
            <w:pPr>
              <w:spacing w:line="380" w:lineRule="exact"/>
              <w:rPr>
                <w:rFonts w:hint="eastAsia" w:ascii="宋体" w:hAnsi="宋体" w:eastAsia="宋体" w:cs="宋体"/>
                <w:sz w:val="24"/>
                <w:szCs w:val="24"/>
              </w:rPr>
            </w:pPr>
            <w:r>
              <w:rPr>
                <w:rFonts w:hint="eastAsia" w:ascii="宋体" w:hAnsi="宋体" w:eastAsia="宋体" w:cs="宋体"/>
                <w:sz w:val="24"/>
                <w:szCs w:val="24"/>
              </w:rPr>
              <w:t>甲方（盖章）：</w:t>
            </w:r>
          </w:p>
        </w:tc>
        <w:tc>
          <w:tcPr>
            <w:tcW w:w="4249" w:type="dxa"/>
            <w:tcBorders>
              <w:top w:val="nil"/>
              <w:left w:val="nil"/>
              <w:bottom w:val="nil"/>
              <w:right w:val="nil"/>
            </w:tcBorders>
            <w:noWrap w:val="0"/>
            <w:vAlign w:val="top"/>
          </w:tcPr>
          <w:p w14:paraId="63FD217C">
            <w:pPr>
              <w:spacing w:line="380" w:lineRule="exact"/>
              <w:rPr>
                <w:rFonts w:hint="eastAsia" w:ascii="宋体" w:hAnsi="宋体" w:eastAsia="宋体" w:cs="宋体"/>
                <w:sz w:val="24"/>
                <w:szCs w:val="24"/>
              </w:rPr>
            </w:pPr>
            <w:r>
              <w:rPr>
                <w:rFonts w:hint="eastAsia" w:ascii="宋体" w:hAnsi="宋体" w:eastAsia="宋体" w:cs="宋体"/>
                <w:sz w:val="24"/>
                <w:szCs w:val="24"/>
              </w:rPr>
              <w:t>乙方（盖章）：</w:t>
            </w:r>
          </w:p>
        </w:tc>
      </w:tr>
      <w:tr w14:paraId="6DF45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4250" w:type="dxa"/>
            <w:tcBorders>
              <w:top w:val="nil"/>
              <w:left w:val="nil"/>
              <w:bottom w:val="nil"/>
              <w:right w:val="nil"/>
            </w:tcBorders>
            <w:noWrap w:val="0"/>
            <w:vAlign w:val="top"/>
          </w:tcPr>
          <w:p w14:paraId="45CFBFD1">
            <w:pPr>
              <w:spacing w:line="380" w:lineRule="exact"/>
              <w:rPr>
                <w:rFonts w:hint="eastAsia" w:ascii="宋体" w:hAnsi="宋体" w:eastAsia="宋体" w:cs="宋体"/>
                <w:sz w:val="24"/>
                <w:szCs w:val="24"/>
              </w:rPr>
            </w:pPr>
            <w:r>
              <w:rPr>
                <w:rFonts w:hint="eastAsia" w:ascii="宋体" w:hAnsi="宋体" w:eastAsia="宋体" w:cs="宋体"/>
                <w:sz w:val="24"/>
                <w:szCs w:val="24"/>
              </w:rPr>
              <w:t>法定代表人（委托代理人）：</w:t>
            </w:r>
          </w:p>
        </w:tc>
        <w:tc>
          <w:tcPr>
            <w:tcW w:w="4249" w:type="dxa"/>
            <w:tcBorders>
              <w:top w:val="nil"/>
              <w:left w:val="nil"/>
              <w:bottom w:val="nil"/>
              <w:right w:val="nil"/>
            </w:tcBorders>
            <w:noWrap w:val="0"/>
            <w:vAlign w:val="top"/>
          </w:tcPr>
          <w:p w14:paraId="3121B2CA">
            <w:pPr>
              <w:spacing w:line="380" w:lineRule="exact"/>
              <w:rPr>
                <w:rFonts w:hint="eastAsia" w:ascii="宋体" w:hAnsi="宋体" w:eastAsia="宋体" w:cs="宋体"/>
                <w:sz w:val="24"/>
                <w:szCs w:val="24"/>
              </w:rPr>
            </w:pPr>
            <w:r>
              <w:rPr>
                <w:rFonts w:hint="eastAsia" w:ascii="宋体" w:hAnsi="宋体" w:eastAsia="宋体" w:cs="宋体"/>
                <w:sz w:val="24"/>
                <w:szCs w:val="24"/>
              </w:rPr>
              <w:t>法定代表人（委托代理人）：</w:t>
            </w:r>
          </w:p>
        </w:tc>
      </w:tr>
      <w:tr w14:paraId="46672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4250" w:type="dxa"/>
            <w:tcBorders>
              <w:top w:val="nil"/>
              <w:left w:val="nil"/>
              <w:bottom w:val="nil"/>
              <w:right w:val="nil"/>
            </w:tcBorders>
            <w:noWrap w:val="0"/>
            <w:vAlign w:val="top"/>
          </w:tcPr>
          <w:p w14:paraId="5709989B">
            <w:pPr>
              <w:spacing w:line="380" w:lineRule="exact"/>
              <w:rPr>
                <w:rFonts w:hint="eastAsia" w:ascii="宋体" w:hAnsi="宋体" w:eastAsia="宋体" w:cs="宋体"/>
                <w:sz w:val="24"/>
                <w:szCs w:val="24"/>
              </w:rPr>
            </w:pPr>
            <w:r>
              <w:rPr>
                <w:rFonts w:hint="eastAsia" w:ascii="宋体" w:hAnsi="宋体" w:eastAsia="宋体" w:cs="宋体"/>
                <w:sz w:val="24"/>
                <w:szCs w:val="24"/>
              </w:rPr>
              <w:t>地　　址：</w:t>
            </w:r>
          </w:p>
        </w:tc>
        <w:tc>
          <w:tcPr>
            <w:tcW w:w="4249" w:type="dxa"/>
            <w:tcBorders>
              <w:top w:val="nil"/>
              <w:left w:val="nil"/>
              <w:bottom w:val="nil"/>
              <w:right w:val="nil"/>
            </w:tcBorders>
            <w:noWrap w:val="0"/>
            <w:vAlign w:val="top"/>
          </w:tcPr>
          <w:p w14:paraId="1F1CD28D">
            <w:pPr>
              <w:spacing w:line="380" w:lineRule="exact"/>
              <w:rPr>
                <w:rFonts w:hint="eastAsia" w:ascii="宋体" w:hAnsi="宋体" w:eastAsia="宋体" w:cs="宋体"/>
                <w:sz w:val="24"/>
                <w:szCs w:val="24"/>
              </w:rPr>
            </w:pPr>
            <w:r>
              <w:rPr>
                <w:rFonts w:hint="eastAsia" w:ascii="宋体" w:hAnsi="宋体" w:eastAsia="宋体" w:cs="宋体"/>
                <w:sz w:val="24"/>
                <w:szCs w:val="24"/>
              </w:rPr>
              <w:t>地　　址：</w:t>
            </w:r>
          </w:p>
        </w:tc>
      </w:tr>
      <w:tr w14:paraId="0B676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4250" w:type="dxa"/>
            <w:tcBorders>
              <w:top w:val="nil"/>
              <w:left w:val="nil"/>
              <w:bottom w:val="nil"/>
              <w:right w:val="nil"/>
            </w:tcBorders>
            <w:noWrap w:val="0"/>
            <w:vAlign w:val="top"/>
          </w:tcPr>
          <w:p w14:paraId="5E803AB3">
            <w:pPr>
              <w:spacing w:line="380" w:lineRule="exact"/>
              <w:rPr>
                <w:rFonts w:hint="eastAsia" w:ascii="宋体" w:hAnsi="宋体" w:eastAsia="宋体" w:cs="宋体"/>
                <w:sz w:val="24"/>
                <w:szCs w:val="24"/>
              </w:rPr>
            </w:pPr>
            <w:r>
              <w:rPr>
                <w:rFonts w:hint="eastAsia" w:ascii="宋体" w:hAnsi="宋体" w:eastAsia="宋体" w:cs="宋体"/>
                <w:sz w:val="24"/>
                <w:szCs w:val="24"/>
              </w:rPr>
              <w:t>开户银行：</w:t>
            </w:r>
          </w:p>
        </w:tc>
        <w:tc>
          <w:tcPr>
            <w:tcW w:w="4249" w:type="dxa"/>
            <w:tcBorders>
              <w:top w:val="nil"/>
              <w:left w:val="nil"/>
              <w:bottom w:val="nil"/>
              <w:right w:val="nil"/>
            </w:tcBorders>
            <w:noWrap w:val="0"/>
            <w:vAlign w:val="top"/>
          </w:tcPr>
          <w:p w14:paraId="79A0F2F2">
            <w:pPr>
              <w:spacing w:line="380" w:lineRule="exact"/>
              <w:rPr>
                <w:rFonts w:hint="eastAsia" w:ascii="宋体" w:hAnsi="宋体" w:eastAsia="宋体" w:cs="宋体"/>
                <w:sz w:val="24"/>
                <w:szCs w:val="24"/>
              </w:rPr>
            </w:pPr>
            <w:r>
              <w:rPr>
                <w:rFonts w:hint="eastAsia" w:ascii="宋体" w:hAnsi="宋体" w:eastAsia="宋体" w:cs="宋体"/>
                <w:sz w:val="24"/>
                <w:szCs w:val="24"/>
              </w:rPr>
              <w:t>开户银行：</w:t>
            </w:r>
          </w:p>
        </w:tc>
      </w:tr>
      <w:tr w14:paraId="4F265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4250" w:type="dxa"/>
            <w:tcBorders>
              <w:top w:val="nil"/>
              <w:left w:val="nil"/>
              <w:bottom w:val="nil"/>
              <w:right w:val="nil"/>
            </w:tcBorders>
            <w:noWrap w:val="0"/>
            <w:vAlign w:val="top"/>
          </w:tcPr>
          <w:p w14:paraId="06FB0B4C">
            <w:pPr>
              <w:spacing w:line="380" w:lineRule="exact"/>
              <w:rPr>
                <w:rFonts w:hint="eastAsia" w:ascii="宋体" w:hAnsi="宋体" w:eastAsia="宋体" w:cs="宋体"/>
                <w:sz w:val="24"/>
                <w:szCs w:val="24"/>
              </w:rPr>
            </w:pPr>
            <w:r>
              <w:rPr>
                <w:rFonts w:hint="eastAsia" w:ascii="宋体" w:hAnsi="宋体" w:eastAsia="宋体" w:cs="宋体"/>
                <w:sz w:val="24"/>
                <w:szCs w:val="24"/>
              </w:rPr>
              <w:t>银行帐号：</w:t>
            </w:r>
          </w:p>
        </w:tc>
        <w:tc>
          <w:tcPr>
            <w:tcW w:w="4249" w:type="dxa"/>
            <w:tcBorders>
              <w:top w:val="nil"/>
              <w:left w:val="nil"/>
              <w:bottom w:val="nil"/>
              <w:right w:val="nil"/>
            </w:tcBorders>
            <w:noWrap w:val="0"/>
            <w:vAlign w:val="top"/>
          </w:tcPr>
          <w:p w14:paraId="16A55AFD">
            <w:pPr>
              <w:spacing w:line="380" w:lineRule="exact"/>
              <w:rPr>
                <w:rFonts w:hint="eastAsia" w:ascii="宋体" w:hAnsi="宋体" w:eastAsia="宋体" w:cs="宋体"/>
                <w:sz w:val="24"/>
                <w:szCs w:val="24"/>
              </w:rPr>
            </w:pPr>
            <w:r>
              <w:rPr>
                <w:rFonts w:hint="eastAsia" w:ascii="宋体" w:hAnsi="宋体" w:eastAsia="宋体" w:cs="宋体"/>
                <w:sz w:val="24"/>
                <w:szCs w:val="24"/>
              </w:rPr>
              <w:t>银行帐号：</w:t>
            </w:r>
          </w:p>
        </w:tc>
      </w:tr>
      <w:tr w14:paraId="30E11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4250" w:type="dxa"/>
            <w:tcBorders>
              <w:top w:val="nil"/>
              <w:left w:val="nil"/>
              <w:bottom w:val="nil"/>
              <w:right w:val="nil"/>
            </w:tcBorders>
            <w:noWrap w:val="0"/>
            <w:vAlign w:val="top"/>
          </w:tcPr>
          <w:p w14:paraId="10DEE2EF">
            <w:pPr>
              <w:spacing w:line="380" w:lineRule="exact"/>
              <w:rPr>
                <w:rFonts w:hint="eastAsia" w:ascii="宋体" w:hAnsi="宋体" w:eastAsia="宋体" w:cs="宋体"/>
                <w:sz w:val="24"/>
                <w:szCs w:val="24"/>
              </w:rPr>
            </w:pPr>
            <w:r>
              <w:rPr>
                <w:rFonts w:hint="eastAsia" w:ascii="宋体" w:hAnsi="宋体" w:eastAsia="宋体" w:cs="宋体"/>
                <w:sz w:val="24"/>
                <w:szCs w:val="24"/>
              </w:rPr>
              <w:t>电　　话：</w:t>
            </w:r>
          </w:p>
        </w:tc>
        <w:tc>
          <w:tcPr>
            <w:tcW w:w="4249" w:type="dxa"/>
            <w:tcBorders>
              <w:top w:val="nil"/>
              <w:left w:val="nil"/>
              <w:bottom w:val="nil"/>
              <w:right w:val="nil"/>
            </w:tcBorders>
            <w:noWrap w:val="0"/>
            <w:vAlign w:val="top"/>
          </w:tcPr>
          <w:p w14:paraId="730B7550">
            <w:pPr>
              <w:spacing w:line="380" w:lineRule="exact"/>
              <w:rPr>
                <w:rFonts w:hint="eastAsia" w:ascii="宋体" w:hAnsi="宋体" w:eastAsia="宋体" w:cs="宋体"/>
                <w:sz w:val="24"/>
                <w:szCs w:val="24"/>
              </w:rPr>
            </w:pPr>
            <w:r>
              <w:rPr>
                <w:rFonts w:hint="eastAsia" w:ascii="宋体" w:hAnsi="宋体" w:eastAsia="宋体" w:cs="宋体"/>
                <w:sz w:val="24"/>
                <w:szCs w:val="24"/>
              </w:rPr>
              <w:t>电　　话：</w:t>
            </w:r>
          </w:p>
        </w:tc>
      </w:tr>
      <w:tr w14:paraId="2BE96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4250" w:type="dxa"/>
            <w:tcBorders>
              <w:top w:val="nil"/>
              <w:left w:val="nil"/>
              <w:bottom w:val="nil"/>
              <w:right w:val="nil"/>
            </w:tcBorders>
            <w:noWrap w:val="0"/>
            <w:vAlign w:val="top"/>
          </w:tcPr>
          <w:p w14:paraId="1BA62413">
            <w:pPr>
              <w:spacing w:line="380" w:lineRule="exact"/>
              <w:rPr>
                <w:rFonts w:hint="eastAsia" w:ascii="宋体" w:hAnsi="宋体" w:eastAsia="宋体" w:cs="宋体"/>
                <w:sz w:val="24"/>
                <w:szCs w:val="24"/>
              </w:rPr>
            </w:pPr>
            <w:r>
              <w:rPr>
                <w:rFonts w:hint="eastAsia" w:ascii="宋体" w:hAnsi="宋体" w:eastAsia="宋体" w:cs="宋体"/>
                <w:sz w:val="24"/>
                <w:szCs w:val="24"/>
              </w:rPr>
              <w:t>传　　真：</w:t>
            </w:r>
          </w:p>
        </w:tc>
        <w:tc>
          <w:tcPr>
            <w:tcW w:w="4249" w:type="dxa"/>
            <w:tcBorders>
              <w:top w:val="nil"/>
              <w:left w:val="nil"/>
              <w:bottom w:val="nil"/>
              <w:right w:val="nil"/>
            </w:tcBorders>
            <w:noWrap w:val="0"/>
            <w:vAlign w:val="top"/>
          </w:tcPr>
          <w:p w14:paraId="74CC7A86">
            <w:pPr>
              <w:spacing w:line="380" w:lineRule="exact"/>
              <w:rPr>
                <w:rFonts w:hint="eastAsia" w:ascii="宋体" w:hAnsi="宋体" w:eastAsia="宋体" w:cs="宋体"/>
                <w:sz w:val="24"/>
                <w:szCs w:val="24"/>
              </w:rPr>
            </w:pPr>
            <w:r>
              <w:rPr>
                <w:rFonts w:hint="eastAsia" w:ascii="宋体" w:hAnsi="宋体" w:eastAsia="宋体" w:cs="宋体"/>
                <w:sz w:val="24"/>
                <w:szCs w:val="24"/>
              </w:rPr>
              <w:t>传　　真：</w:t>
            </w:r>
          </w:p>
        </w:tc>
      </w:tr>
      <w:tr w14:paraId="01415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4250" w:type="dxa"/>
            <w:tcBorders>
              <w:top w:val="nil"/>
              <w:left w:val="nil"/>
              <w:bottom w:val="nil"/>
              <w:right w:val="nil"/>
            </w:tcBorders>
            <w:noWrap w:val="0"/>
            <w:vAlign w:val="top"/>
          </w:tcPr>
          <w:p w14:paraId="16379DF6">
            <w:pPr>
              <w:spacing w:line="380" w:lineRule="exact"/>
              <w:rPr>
                <w:rFonts w:hint="eastAsia" w:ascii="宋体" w:hAnsi="宋体" w:eastAsia="宋体" w:cs="宋体"/>
                <w:sz w:val="24"/>
                <w:szCs w:val="24"/>
              </w:rPr>
            </w:pPr>
            <w:r>
              <w:rPr>
                <w:rFonts w:hint="eastAsia" w:ascii="宋体" w:hAnsi="宋体" w:eastAsia="宋体" w:cs="宋体"/>
                <w:sz w:val="24"/>
                <w:szCs w:val="24"/>
              </w:rPr>
              <w:t>签约日期：年　月　日</w:t>
            </w:r>
          </w:p>
        </w:tc>
        <w:tc>
          <w:tcPr>
            <w:tcW w:w="4249" w:type="dxa"/>
            <w:tcBorders>
              <w:top w:val="nil"/>
              <w:left w:val="nil"/>
              <w:bottom w:val="nil"/>
              <w:right w:val="nil"/>
            </w:tcBorders>
            <w:noWrap w:val="0"/>
            <w:vAlign w:val="top"/>
          </w:tcPr>
          <w:p w14:paraId="10AA9EF3">
            <w:pPr>
              <w:spacing w:line="380" w:lineRule="exact"/>
              <w:rPr>
                <w:rFonts w:hint="eastAsia" w:ascii="宋体" w:hAnsi="宋体" w:eastAsia="宋体" w:cs="宋体"/>
                <w:sz w:val="24"/>
                <w:szCs w:val="24"/>
              </w:rPr>
            </w:pPr>
            <w:r>
              <w:rPr>
                <w:rFonts w:hint="eastAsia" w:ascii="宋体" w:hAnsi="宋体" w:eastAsia="宋体" w:cs="宋体"/>
                <w:sz w:val="24"/>
                <w:szCs w:val="24"/>
              </w:rPr>
              <w:t>签约日期：　年　月　日</w:t>
            </w:r>
          </w:p>
        </w:tc>
      </w:tr>
    </w:tbl>
    <w:p w14:paraId="040F14F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88EC3C"/>
    <w:multiLevelType w:val="multilevel"/>
    <w:tmpl w:val="5888EC3C"/>
    <w:lvl w:ilvl="0" w:tentative="0">
      <w:start w:val="1"/>
      <w:numFmt w:val="decimal"/>
      <w:lvlText w:val="%1"/>
      <w:lvlJc w:val="left"/>
    </w:lvl>
    <w:lvl w:ilvl="1" w:tentative="0">
      <w:start w:val="1"/>
      <w:numFmt w:val="decimal"/>
      <w:lvlText w:val="%1.%2"/>
      <w:lvlJc w:val="left"/>
    </w:lvl>
    <w:lvl w:ilvl="2" w:tentative="0">
      <w:start w:val="1"/>
      <w:numFmt w:val="decimal"/>
      <w:lvlText w:val="%1.%2.%3"/>
      <w:lvlJc w:val="left"/>
    </w:lvl>
    <w:lvl w:ilvl="3" w:tentative="0">
      <w:start w:val="1"/>
      <w:numFmt w:val="decimal"/>
      <w:pStyle w:val="2"/>
      <w:lvlText w:val="%1.%2.%3.%4"/>
      <w:lvlJc w:val="left"/>
    </w:lvl>
    <w:lvl w:ilvl="4" w:tentative="0">
      <w:start w:val="1"/>
      <w:numFmt w:val="decimal"/>
      <w:lvlText w:val="%1.%2.%3.%4.%5"/>
      <w:lvlJc w:val="left"/>
    </w:lvl>
    <w:lvl w:ilvl="5" w:tentative="0">
      <w:start w:val="1"/>
      <w:numFmt w:val="decimal"/>
      <w:lvlText w:val="%1.%2.%3.%4.%5.%6"/>
      <w:lvlJc w:val="left"/>
    </w:lvl>
    <w:lvl w:ilvl="6" w:tentative="0">
      <w:start w:val="1"/>
      <w:numFmt w:val="decimal"/>
      <w:lvlText w:val="%1.%2.%3.%4.%5.%6.%7"/>
      <w:lvlJc w:val="left"/>
    </w:lvl>
    <w:lvl w:ilvl="7" w:tentative="0">
      <w:start w:val="1"/>
      <w:numFmt w:val="decimal"/>
      <w:lvlText w:val="%1.%2.%3.%4.%5.%6.%7.%8"/>
      <w:lvlJc w:val="left"/>
    </w:lvl>
    <w:lvl w:ilvl="8" w:tentative="0">
      <w:start w:val="1"/>
      <w:numFmt w:val="decimal"/>
      <w:lvlText w:val="%1.%2.%3.%4.%5.%6.%7.%8.%9"/>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mZmYwMDFiM2Q1ZmZiNmUwZTJlN2MzNGIwY2ZiMDUifQ=="/>
  </w:docVars>
  <w:rsids>
    <w:rsidRoot w:val="00000000"/>
    <w:rsid w:val="038A6A59"/>
    <w:rsid w:val="47A67043"/>
    <w:rsid w:val="6BF753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qFormat/>
    <w:uiPriority w:val="0"/>
    <w:pPr>
      <w:keepNext/>
      <w:keepLines/>
      <w:spacing w:before="260" w:after="260" w:line="416" w:lineRule="auto"/>
      <w:outlineLvl w:val="1"/>
    </w:pPr>
    <w:rPr>
      <w:rFonts w:ascii="Arial" w:hAnsi="Arial" w:eastAsia="黑体" w:cs="Times New Roman"/>
      <w:b/>
      <w:bCs/>
      <w:sz w:val="32"/>
      <w:szCs w:val="32"/>
    </w:rPr>
  </w:style>
  <w:style w:type="paragraph" w:styleId="2">
    <w:name w:val="heading 4"/>
    <w:basedOn w:val="1"/>
    <w:next w:val="1"/>
    <w:qFormat/>
    <w:uiPriority w:val="0"/>
    <w:pPr>
      <w:keepNext/>
      <w:keepLines/>
      <w:numPr>
        <w:ilvl w:val="3"/>
        <w:numId w:val="1"/>
      </w:numPr>
      <w:spacing w:before="280" w:beforeLines="0" w:after="290" w:afterLines="0" w:line="376" w:lineRule="atLeast"/>
      <w:ind w:left="0" w:firstLine="0"/>
      <w:outlineLvl w:val="3"/>
    </w:pPr>
    <w:rPr>
      <w:rFonts w:ascii="Arial" w:hAnsi="Arial"/>
      <w:b/>
      <w:color w:val="auto"/>
      <w:spacing w:val="20"/>
      <w:sz w:val="28"/>
      <w:szCs w:val="20"/>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rPr>
      <w:rFonts w:ascii="Times New Roman" w:hAnsi="Times New Roman" w:eastAsia="宋体" w:cs="Times New Roman"/>
      <w:sz w:val="28"/>
      <w:szCs w:val="20"/>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9">
    <w:name w:val="@正文"/>
    <w:basedOn w:val="10"/>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10">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1750</Words>
  <Characters>1911</Characters>
  <Lines>0</Lines>
  <Paragraphs>0</Paragraphs>
  <TotalTime>1</TotalTime>
  <ScaleCrop>false</ScaleCrop>
  <LinksUpToDate>false</LinksUpToDate>
  <CharactersWithSpaces>1945</CharactersWithSpaces>
  <Application>WPS Office_12.1.0.22483_F1E327BC-269C-435d-A152-05C5408002CA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2024-06-27T09:02:00Z</dcterms:created>
  <dc:creator>Administrator</dc:creator>
  <cp:lastModifiedBy>王龙飞</cp:lastModifiedBy>
  <dcterms:modified xsi:type="dcterms:W3CDTF">2025-08-13T07:47:57Z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2052-12.1.0.22483</vt:lpwstr>
  </property>
  <property fmtid="{D5CDD505-2E9C-101B-9397-08002B2CF9AE}" pid="3" name="ICV">
    <vt:lpwstr>C73403A2074E4F62BC0E739354136BB7_12</vt:lpwstr>
  </property>
  <property fmtid="{D5CDD505-2E9C-101B-9397-08002B2CF9AE}" pid="4" name="KSOTemplateDocerSaveRecord">
    <vt:lpwstr>eyJoZGlkIjoiY2RmNjIzZTI1Nzk3MDI4Zjk2MDg3Y2FkOGZjMmQ5MDkiLCJ1c2VySWQiOiI2MzU2MzM5MTIifQ==</vt:lpwstr>
  </property>
</Properties>
</file>