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版本号：HYZB2025002520250813001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临潼区2024年度国土变更调查项目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HYZB20250025</w:t>
      </w:r>
      <w:r>
        <w:br/>
      </w:r>
      <w:r>
        <w:br/>
      </w:r>
      <w:r>
        <w:br/>
      </w:r>
    </w:p>
    <w:p>
      <w:pPr>
        <w:pStyle w:val="null3"/>
        <w:jc w:val="center"/>
        <w:outlineLvl w:val="2"/>
      </w:pPr>
      <w:r>
        <w:rPr>
          <w:rFonts w:ascii="仿宋_GB2312" w:hAnsi="仿宋_GB2312" w:cs="仿宋_GB2312" w:eastAsia="仿宋_GB2312"/>
          <w:sz w:val="28"/>
          <w:b/>
        </w:rPr>
        <w:t>西安市自然资源和规划局临潼分局</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西安市自然资源和规划局临潼分局</w:t>
      </w:r>
      <w:r>
        <w:rPr>
          <w:rFonts w:ascii="仿宋_GB2312" w:hAnsi="仿宋_GB2312" w:cs="仿宋_GB2312" w:eastAsia="仿宋_GB2312"/>
        </w:rPr>
        <w:t>委托，拟对</w:t>
      </w:r>
      <w:r>
        <w:rPr>
          <w:rFonts w:ascii="仿宋_GB2312" w:hAnsi="仿宋_GB2312" w:cs="仿宋_GB2312" w:eastAsia="仿宋_GB2312"/>
        </w:rPr>
        <w:t>临潼区2024年度国土变更调查项目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HYZB20250025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临潼区2024年度国土变更调查项目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统一制作调查底图，开展实地调查举证，全面掌握2024年度的地类、面积、属性及相关单独图层信息的年度变化情况，更新县级国土调查数据库，形成年度国土变更调查成果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采购包1（临潼区2024年度国土变更调查项目）：属于专门面向中小企业采购。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资格要求：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3、法人授权：提供法定代表人授权书（附法定代表人、被授权人身份证复印件）（法定代表人直接参加投标，须提供法定代表人身份证明）；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4、企业资质：供应商须具备测绘乙级以上（含乙级）资质；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西安市自然资源和规划局临潼分局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临潼区秦陵南路36号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西安市自然资源和规划局临潼分局经办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029-83812960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采购包1：2,016,581.00元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采购包中标金额*3为基数参考《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西安市自然资源和规划局临潼分局</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西安市自然资源和规划局临潼分局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西安市自然资源和规划局临潼分局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联系人：惠工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统一制作调查底图，开展实地调查举证，全面掌握2024年度的地类、面积、属性及相关单独图层信息的年度变化情况，更新县级国土调查数据库，形成年度国土变更调查成果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2,016,581.00</w:t>
      </w:r>
    </w:p>
    <w:p>
      <w:pPr>
        <w:pStyle w:val="null3"/>
      </w:pPr>
      <w:r>
        <w:rPr>
          <w:rFonts w:ascii="仿宋_GB2312" w:hAnsi="仿宋_GB2312" w:cs="仿宋_GB2312" w:eastAsia="仿宋_GB2312"/>
        </w:rPr>
        <w:t>采购包最高限价（元）: 2,016,581.00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临潼区2024年度国土变更调查项目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2,016,581.00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标的名称：临潼区2024年度国土变更调查项目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outlineLvl w:val="1"/>
            </w:pPr>
            <w:r>
              <w:rPr>
                <w:rFonts w:ascii="仿宋_GB2312" w:hAnsi="仿宋_GB2312" w:cs="仿宋_GB2312" w:eastAsia="仿宋_GB2312"/>
                <w:sz w:val="21"/>
                <w:b/>
              </w:rPr>
              <w:t>一、</w:t>
            </w:r>
            <w:r>
              <w:rPr>
                <w:rFonts w:ascii="仿宋_GB2312" w:hAnsi="仿宋_GB2312" w:cs="仿宋_GB2312" w:eastAsia="仿宋_GB2312"/>
                <w:sz w:val="21"/>
                <w:b/>
              </w:rPr>
              <w:t>项目概况</w:t>
            </w:r>
          </w:p>
          <w:p>
            <w:pPr>
              <w:pStyle w:val="null3"/>
              <w:ind w:firstLine="420"/>
              <w:jc w:val="both"/>
            </w:pPr>
            <w:r>
              <w:rPr>
                <w:rFonts w:ascii="仿宋_GB2312" w:hAnsi="仿宋_GB2312" w:cs="仿宋_GB2312" w:eastAsia="仿宋_GB2312"/>
                <w:sz w:val="21"/>
              </w:rPr>
              <w:t>为保持临潼区第三次全国国土调查成果现势性，在</w:t>
            </w:r>
            <w:r>
              <w:rPr>
                <w:rFonts w:ascii="仿宋_GB2312" w:hAnsi="仿宋_GB2312" w:cs="仿宋_GB2312" w:eastAsia="仿宋_GB2312"/>
                <w:sz w:val="21"/>
              </w:rPr>
              <w:t>2023年度国土变更调查成果基础上，以2024年12月31日为标准时点，国家提取的地类变化图斑为基础，统筹利用现有资料，结合自然资源监测等各项监测监管、森林草原湿地荒漠化普查及地类对接、日常变更及自然资源管理等成果，统一制作调查底图，开展实地调查举证，全面掌握临潼区2024年度地类、面积、属性及相关单独图层信息的变化情况，更新临潼区国土利用数据库，形成2024年度临潼区国土变更调查成果。</w:t>
            </w:r>
          </w:p>
          <w:p>
            <w:pPr>
              <w:pStyle w:val="null3"/>
              <w:ind w:firstLine="420"/>
              <w:jc w:val="both"/>
            </w:pPr>
            <w:r>
              <w:rPr>
                <w:rFonts w:ascii="仿宋_GB2312" w:hAnsi="仿宋_GB2312" w:cs="仿宋_GB2312" w:eastAsia="仿宋_GB2312"/>
                <w:sz w:val="21"/>
              </w:rPr>
              <w:t>通过开展</w:t>
            </w:r>
            <w:r>
              <w:rPr>
                <w:rFonts w:ascii="仿宋_GB2312" w:hAnsi="仿宋_GB2312" w:cs="仿宋_GB2312" w:eastAsia="仿宋_GB2312"/>
                <w:sz w:val="21"/>
              </w:rPr>
              <w:t>2024年度临潼区国土变更调查，全面掌握临潼区2024年度国土利用变化情况，进一步夯实国土调查成果作为自然资源管理工作底数、底版和底图的工作基础，扎实做好耕地保护和粮食安全责任制考核的数据准备，有效支撑高质量发展和国土空间治理现代化。</w:t>
            </w:r>
          </w:p>
          <w:p>
            <w:pPr>
              <w:pStyle w:val="null3"/>
              <w:jc w:val="left"/>
              <w:outlineLvl w:val="1"/>
            </w:pPr>
            <w:r>
              <w:rPr>
                <w:rFonts w:ascii="仿宋_GB2312" w:hAnsi="仿宋_GB2312" w:cs="仿宋_GB2312" w:eastAsia="仿宋_GB2312"/>
                <w:sz w:val="21"/>
                <w:b/>
              </w:rPr>
              <w:t>二、</w:t>
            </w:r>
            <w:r>
              <w:rPr>
                <w:rFonts w:ascii="仿宋_GB2312" w:hAnsi="仿宋_GB2312" w:cs="仿宋_GB2312" w:eastAsia="仿宋_GB2312"/>
                <w:sz w:val="21"/>
                <w:b/>
              </w:rPr>
              <w:t>服务内容</w:t>
            </w:r>
          </w:p>
          <w:p>
            <w:pPr>
              <w:pStyle w:val="null3"/>
              <w:ind w:firstLine="420"/>
              <w:jc w:val="both"/>
            </w:pPr>
            <w:r>
              <w:rPr>
                <w:rFonts w:ascii="仿宋_GB2312" w:hAnsi="仿宋_GB2312" w:cs="仿宋_GB2312" w:eastAsia="仿宋_GB2312"/>
                <w:sz w:val="21"/>
              </w:rPr>
              <w:t>按照国家、省、市的统一要求，在临潼区</w:t>
            </w:r>
            <w:r>
              <w:rPr>
                <w:rFonts w:ascii="仿宋_GB2312" w:hAnsi="仿宋_GB2312" w:cs="仿宋_GB2312" w:eastAsia="仿宋_GB2312"/>
                <w:sz w:val="21"/>
              </w:rPr>
              <w:t>2023年度国土变更调查成果基础上，根据陕西省自然资源厅收集下发的2024年度遥感监测成果、各类用地管理信息及自行补充提取的土地利用变化情况，制作外业调查工作底图。以实地现状认定地类为原则，全面查清工作底图上每一块变化图斑的地类、面积、属性及单独图层信息的变化情况;对每个监测图斑进行逐一实地拍照举证。地类调查完成后结合日常变更成果，在2023年度国土调查数据库的基础上，更新临潼区国土调查数据库，形成年度变更增量包，逐级上报。经市、省、国家逐级地类核查和全面检查通过后，形成临潼区2024年度变更调查数据库成果。</w:t>
            </w:r>
          </w:p>
          <w:p>
            <w:pPr>
              <w:pStyle w:val="null3"/>
              <w:ind w:firstLine="420"/>
              <w:jc w:val="both"/>
            </w:pPr>
            <w:r>
              <w:rPr>
                <w:rFonts w:ascii="仿宋_GB2312" w:hAnsi="仿宋_GB2312" w:cs="仿宋_GB2312" w:eastAsia="仿宋_GB2312"/>
                <w:sz w:val="21"/>
              </w:rPr>
              <w:t>结合临潼区</w:t>
            </w:r>
            <w:r>
              <w:rPr>
                <w:rFonts w:ascii="仿宋_GB2312" w:hAnsi="仿宋_GB2312" w:cs="仿宋_GB2312" w:eastAsia="仿宋_GB2312"/>
                <w:sz w:val="21"/>
              </w:rPr>
              <w:t>2023年度国土变更调查工作，同步开展对耕地特别是永久基本农田转为非耕地的情况进行全面排查，分析变化情况和原因，对不合理的耕地流出问题及时组织整改。要以“三区三线”成果为基础，重点梳理新增建设用地占用耕地、占用永久基本农田发展林果业和挖塘养鱼等情况，及时对违法违规用地等行为进行纠正和查处。</w:t>
            </w:r>
          </w:p>
          <w:p>
            <w:pPr>
              <w:pStyle w:val="null3"/>
              <w:ind w:firstLine="420"/>
              <w:jc w:val="both"/>
            </w:pPr>
            <w:r>
              <w:rPr>
                <w:rFonts w:ascii="仿宋_GB2312" w:hAnsi="仿宋_GB2312" w:cs="仿宋_GB2312" w:eastAsia="仿宋_GB2312"/>
                <w:sz w:val="21"/>
              </w:rPr>
              <w:t>以临潼区</w:t>
            </w:r>
            <w:r>
              <w:rPr>
                <w:rFonts w:ascii="仿宋_GB2312" w:hAnsi="仿宋_GB2312" w:cs="仿宋_GB2312" w:eastAsia="仿宋_GB2312"/>
                <w:sz w:val="21"/>
              </w:rPr>
              <w:t>2023年度耕地资源分区分类评价成果、2024年度国土变更调查成果为基础，结合2024年度土地综合整治、高标准农田建设等项目竣工验收资料,开展2024年度耕地资源分区分类评价工作，全面掌握全区年度内耕地资源质量变化情况。</w:t>
            </w:r>
          </w:p>
          <w:p>
            <w:pPr>
              <w:pStyle w:val="null3"/>
              <w:jc w:val="left"/>
              <w:outlineLvl w:val="1"/>
            </w:pPr>
            <w:r>
              <w:rPr>
                <w:rFonts w:ascii="仿宋_GB2312" w:hAnsi="仿宋_GB2312" w:cs="仿宋_GB2312" w:eastAsia="仿宋_GB2312"/>
                <w:sz w:val="21"/>
                <w:b/>
              </w:rPr>
              <w:t>三、</w:t>
            </w:r>
            <w:r>
              <w:rPr>
                <w:rFonts w:ascii="仿宋_GB2312" w:hAnsi="仿宋_GB2312" w:cs="仿宋_GB2312" w:eastAsia="仿宋_GB2312"/>
                <w:sz w:val="21"/>
                <w:b/>
              </w:rPr>
              <w:t>工作依据</w:t>
            </w:r>
          </w:p>
          <w:p>
            <w:pPr>
              <w:pStyle w:val="null3"/>
              <w:ind w:firstLine="420"/>
              <w:jc w:val="both"/>
            </w:pPr>
            <w:r>
              <w:rPr>
                <w:rFonts w:ascii="仿宋_GB2312" w:hAnsi="仿宋_GB2312" w:cs="仿宋_GB2312" w:eastAsia="仿宋_GB2312"/>
                <w:sz w:val="21"/>
              </w:rPr>
              <w:t>1、《中华人民共和国土地管理法》（主席令[2004]第28号）；</w:t>
            </w:r>
          </w:p>
          <w:p>
            <w:pPr>
              <w:pStyle w:val="null3"/>
              <w:ind w:firstLine="420"/>
              <w:jc w:val="both"/>
            </w:pPr>
            <w:r>
              <w:rPr>
                <w:rFonts w:ascii="仿宋_GB2312" w:hAnsi="仿宋_GB2312" w:cs="仿宋_GB2312" w:eastAsia="仿宋_GB2312"/>
                <w:sz w:val="21"/>
              </w:rPr>
              <w:t>2、《土地调查条例》（国务院令第518号）；</w:t>
            </w:r>
          </w:p>
          <w:p>
            <w:pPr>
              <w:pStyle w:val="null3"/>
              <w:ind w:firstLine="420"/>
              <w:jc w:val="both"/>
            </w:pPr>
            <w:r>
              <w:rPr>
                <w:rFonts w:ascii="仿宋_GB2312" w:hAnsi="仿宋_GB2312" w:cs="仿宋_GB2312" w:eastAsia="仿宋_GB2312"/>
                <w:sz w:val="21"/>
              </w:rPr>
              <w:t>3、《土地调查条例实施办法》（2019年7月16日第二次修正）；</w:t>
            </w:r>
          </w:p>
          <w:p>
            <w:pPr>
              <w:pStyle w:val="null3"/>
              <w:ind w:firstLine="420"/>
              <w:jc w:val="both"/>
            </w:pPr>
            <w:r>
              <w:rPr>
                <w:rFonts w:ascii="仿宋_GB2312" w:hAnsi="仿宋_GB2312" w:cs="仿宋_GB2312" w:eastAsia="仿宋_GB2312"/>
                <w:sz w:val="21"/>
              </w:rPr>
              <w:t>4、《自然资源部办公厅关于开展2024年度全国国土变更调查工作的通知》（自然资办发〔2024〕44号）；</w:t>
            </w:r>
          </w:p>
          <w:p>
            <w:pPr>
              <w:pStyle w:val="null3"/>
              <w:ind w:firstLine="420"/>
              <w:jc w:val="both"/>
            </w:pPr>
            <w:r>
              <w:rPr>
                <w:rFonts w:ascii="仿宋_GB2312" w:hAnsi="仿宋_GB2312" w:cs="仿宋_GB2312" w:eastAsia="仿宋_GB2312"/>
                <w:sz w:val="21"/>
              </w:rPr>
              <w:t>5、《陕西省自然资源厅关于做好2024年度变更调查工作的通知》（陕自然资发〔2024〕1502号）；</w:t>
            </w:r>
          </w:p>
          <w:p>
            <w:pPr>
              <w:pStyle w:val="null3"/>
              <w:ind w:firstLine="420"/>
              <w:jc w:val="both"/>
            </w:pPr>
            <w:r>
              <w:rPr>
                <w:rFonts w:ascii="仿宋_GB2312" w:hAnsi="仿宋_GB2312" w:cs="仿宋_GB2312" w:eastAsia="仿宋_GB2312"/>
                <w:sz w:val="21"/>
              </w:rPr>
              <w:t>6、《国土调查数据库标准》（TD/T 1057-2020）；</w:t>
            </w:r>
          </w:p>
          <w:p>
            <w:pPr>
              <w:pStyle w:val="null3"/>
              <w:ind w:firstLine="420"/>
              <w:jc w:val="both"/>
            </w:pPr>
            <w:r>
              <w:rPr>
                <w:rFonts w:ascii="仿宋_GB2312" w:hAnsi="仿宋_GB2312" w:cs="仿宋_GB2312" w:eastAsia="仿宋_GB2312"/>
                <w:sz w:val="21"/>
              </w:rPr>
              <w:t>7、《国土变更调查技术规程》（2024年度适用）。</w:t>
            </w:r>
          </w:p>
          <w:p>
            <w:pPr>
              <w:pStyle w:val="null3"/>
              <w:jc w:val="left"/>
              <w:outlineLvl w:val="1"/>
            </w:pPr>
            <w:r>
              <w:rPr>
                <w:rFonts w:ascii="仿宋_GB2312" w:hAnsi="仿宋_GB2312" w:cs="仿宋_GB2312" w:eastAsia="仿宋_GB2312"/>
                <w:sz w:val="21"/>
                <w:b/>
              </w:rPr>
              <w:t>四、</w:t>
            </w:r>
            <w:r>
              <w:rPr>
                <w:rFonts w:ascii="仿宋_GB2312" w:hAnsi="仿宋_GB2312" w:cs="仿宋_GB2312" w:eastAsia="仿宋_GB2312"/>
                <w:sz w:val="21"/>
                <w:b/>
              </w:rPr>
              <w:t>成果提交</w:t>
            </w:r>
          </w:p>
          <w:p>
            <w:pPr>
              <w:pStyle w:val="null3"/>
              <w:ind w:firstLine="420"/>
              <w:jc w:val="both"/>
            </w:pPr>
            <w:r>
              <w:rPr>
                <w:rFonts w:ascii="仿宋_GB2312" w:hAnsi="仿宋_GB2312" w:cs="仿宋_GB2312" w:eastAsia="仿宋_GB2312"/>
                <w:sz w:val="21"/>
              </w:rPr>
              <w:t>1、遥感监测成果：包括遥感正射影像图、遥感监测图斑。</w:t>
            </w:r>
          </w:p>
          <w:p>
            <w:pPr>
              <w:pStyle w:val="null3"/>
              <w:ind w:firstLine="420"/>
              <w:jc w:val="both"/>
            </w:pPr>
            <w:r>
              <w:rPr>
                <w:rFonts w:ascii="仿宋_GB2312" w:hAnsi="仿宋_GB2312" w:cs="仿宋_GB2312" w:eastAsia="仿宋_GB2312"/>
                <w:sz w:val="21"/>
              </w:rPr>
              <w:t>2、外业调查成果：主要包括：外业调查图件、图斑举证数据包（DB格式）。</w:t>
            </w:r>
          </w:p>
          <w:p>
            <w:pPr>
              <w:pStyle w:val="null3"/>
              <w:ind w:firstLine="420"/>
              <w:jc w:val="both"/>
            </w:pPr>
            <w:r>
              <w:rPr>
                <w:rFonts w:ascii="仿宋_GB2312" w:hAnsi="仿宋_GB2312" w:cs="仿宋_GB2312" w:eastAsia="仿宋_GB2312"/>
                <w:sz w:val="21"/>
              </w:rPr>
              <w:t>3、数据库成果：包括更新后的国土调查数据库；国土调查数据库更新数据包（含增量信息与统计报表，由数据库质检软件打包生成）。</w:t>
            </w:r>
          </w:p>
          <w:p>
            <w:pPr>
              <w:pStyle w:val="null3"/>
              <w:ind w:firstLine="420"/>
              <w:jc w:val="both"/>
            </w:pPr>
            <w:r>
              <w:rPr>
                <w:rFonts w:ascii="仿宋_GB2312" w:hAnsi="仿宋_GB2312" w:cs="仿宋_GB2312" w:eastAsia="仿宋_GB2312"/>
                <w:sz w:val="21"/>
              </w:rPr>
              <w:t>4、图斑信息核实各类报表（MDB格式）：包括遥感监测图斑信息核实记录表；跟踪图斑列表；举证信息表。</w:t>
            </w:r>
          </w:p>
          <w:p>
            <w:pPr>
              <w:pStyle w:val="null3"/>
              <w:ind w:firstLine="420"/>
              <w:jc w:val="both"/>
            </w:pPr>
            <w:r>
              <w:rPr>
                <w:rFonts w:ascii="仿宋_GB2312" w:hAnsi="仿宋_GB2312" w:cs="仿宋_GB2312" w:eastAsia="仿宋_GB2312"/>
                <w:sz w:val="21"/>
              </w:rPr>
              <w:t>5、文字成果：主要包括土地利用变化情况分析报告及各项专题报告。</w:t>
            </w:r>
          </w:p>
          <w:p>
            <w:pPr>
              <w:pStyle w:val="null3"/>
              <w:jc w:val="left"/>
              <w:outlineLvl w:val="1"/>
            </w:pPr>
            <w:r>
              <w:rPr>
                <w:rFonts w:ascii="仿宋_GB2312" w:hAnsi="仿宋_GB2312" w:cs="仿宋_GB2312" w:eastAsia="仿宋_GB2312"/>
                <w:sz w:val="21"/>
                <w:b/>
              </w:rPr>
              <w:t>五、</w:t>
            </w:r>
            <w:r>
              <w:rPr>
                <w:rFonts w:ascii="仿宋_GB2312" w:hAnsi="仿宋_GB2312" w:cs="仿宋_GB2312" w:eastAsia="仿宋_GB2312"/>
                <w:sz w:val="21"/>
                <w:b/>
              </w:rPr>
              <w:t>商务条款及要求</w:t>
            </w:r>
          </w:p>
          <w:p>
            <w:pPr>
              <w:pStyle w:val="null3"/>
              <w:ind w:firstLine="422"/>
              <w:jc w:val="both"/>
            </w:pPr>
            <w:r>
              <w:rPr>
                <w:rFonts w:ascii="仿宋_GB2312" w:hAnsi="仿宋_GB2312" w:cs="仿宋_GB2312" w:eastAsia="仿宋_GB2312"/>
                <w:sz w:val="21"/>
                <w:b/>
              </w:rPr>
              <w:t>（一）服务期限及地点</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 xml:space="preserve">1.服务期限： </w:t>
            </w:r>
            <w:r>
              <w:rPr>
                <w:rFonts w:ascii="仿宋_GB2312" w:hAnsi="仿宋_GB2312" w:cs="仿宋_GB2312" w:eastAsia="仿宋_GB2312"/>
                <w:sz w:val="21"/>
              </w:rPr>
              <w:t xml:space="preserve">合同签订之日起至成果通过部省市级核查。      </w:t>
            </w:r>
          </w:p>
          <w:p>
            <w:pPr>
              <w:pStyle w:val="null3"/>
              <w:ind w:firstLine="420"/>
              <w:jc w:val="both"/>
            </w:pPr>
            <w:r>
              <w:rPr>
                <w:rFonts w:ascii="仿宋_GB2312" w:hAnsi="仿宋_GB2312" w:cs="仿宋_GB2312" w:eastAsia="仿宋_GB2312"/>
                <w:sz w:val="21"/>
              </w:rPr>
              <w:t xml:space="preserve">2.地点：采购人指定地点。  </w:t>
            </w:r>
          </w:p>
          <w:p>
            <w:pPr>
              <w:pStyle w:val="null3"/>
              <w:ind w:firstLine="422"/>
              <w:jc w:val="both"/>
            </w:pPr>
            <w:r>
              <w:rPr>
                <w:rFonts w:ascii="仿宋_GB2312" w:hAnsi="仿宋_GB2312" w:cs="仿宋_GB2312" w:eastAsia="仿宋_GB2312"/>
                <w:sz w:val="21"/>
                <w:b/>
              </w:rPr>
              <w:t>（二）付款方式：</w:t>
            </w:r>
            <w:r>
              <w:rPr>
                <w:rFonts w:ascii="仿宋_GB2312" w:hAnsi="仿宋_GB2312" w:cs="仿宋_GB2312" w:eastAsia="仿宋_GB2312"/>
                <w:sz w:val="24"/>
              </w:rPr>
              <w:t xml:space="preserve">                           </w:t>
            </w:r>
          </w:p>
          <w:p>
            <w:pPr>
              <w:pStyle w:val="null3"/>
              <w:ind w:firstLine="420"/>
              <w:jc w:val="both"/>
            </w:pPr>
            <w:r>
              <w:rPr>
                <w:rFonts w:ascii="仿宋_GB2312" w:hAnsi="仿宋_GB2312" w:cs="仿宋_GB2312" w:eastAsia="仿宋_GB2312"/>
                <w:sz w:val="21"/>
              </w:rPr>
              <w:t>供应商完成合同约定的所有工作并提交成果资料，经采购人验收合格 ，达到付款条件起 30日内，支付合同总金额的 100.00%。</w:t>
            </w:r>
          </w:p>
          <w:p>
            <w:pPr>
              <w:pStyle w:val="null3"/>
              <w:ind w:firstLine="422"/>
              <w:jc w:val="both"/>
            </w:pPr>
            <w:r>
              <w:rPr>
                <w:rFonts w:ascii="仿宋_GB2312" w:hAnsi="仿宋_GB2312" w:cs="仿宋_GB2312" w:eastAsia="仿宋_GB2312"/>
                <w:sz w:val="21"/>
                <w:b/>
              </w:rPr>
              <w:t>（三）质量保证：</w:t>
            </w:r>
          </w:p>
          <w:p>
            <w:pPr>
              <w:pStyle w:val="null3"/>
              <w:ind w:firstLine="420"/>
              <w:jc w:val="both"/>
            </w:pPr>
            <w:r>
              <w:rPr>
                <w:rFonts w:ascii="仿宋_GB2312" w:hAnsi="仿宋_GB2312" w:cs="仿宋_GB2312" w:eastAsia="仿宋_GB2312"/>
                <w:sz w:val="21"/>
              </w:rPr>
              <w:t>1、成交单位所提供的项目成果必须经采购人审核验收，符合采购人要求，并达到技术指标先进、质量可靠、配置合理，满足磋商文件要求。</w:t>
            </w:r>
          </w:p>
          <w:p>
            <w:pPr>
              <w:pStyle w:val="null3"/>
              <w:ind w:firstLine="420"/>
              <w:jc w:val="both"/>
            </w:pPr>
            <w:r>
              <w:rPr>
                <w:rFonts w:ascii="仿宋_GB2312" w:hAnsi="仿宋_GB2312" w:cs="仿宋_GB2312" w:eastAsia="仿宋_GB2312"/>
                <w:sz w:val="21"/>
              </w:rPr>
              <w:t>2、服务的质量必须符合国家标准和有关规范，确保服务达到最佳使用要求。</w:t>
            </w:r>
          </w:p>
          <w:p>
            <w:pPr>
              <w:pStyle w:val="null3"/>
              <w:ind w:firstLine="422"/>
              <w:jc w:val="both"/>
            </w:pPr>
            <w:r>
              <w:rPr>
                <w:rFonts w:ascii="仿宋_GB2312" w:hAnsi="仿宋_GB2312" w:cs="仿宋_GB2312" w:eastAsia="仿宋_GB2312"/>
                <w:sz w:val="21"/>
                <w:b/>
              </w:rPr>
              <w:t>（四）售后服务要求</w:t>
            </w:r>
            <w:r>
              <w:rPr>
                <w:rFonts w:ascii="仿宋_GB2312" w:hAnsi="仿宋_GB2312" w:cs="仿宋_GB2312" w:eastAsia="仿宋_GB2312"/>
                <w:sz w:val="24"/>
              </w:rPr>
              <w:t xml:space="preserve">      </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免费为采购人提供技术业务培训，对整个项目的合理化把控能够提出可行性建议，对项目中出现的各种问题提供可供参考的解决方案，以保证项目顺利进行。项目提交后，在成果使用中遇到问题及时快速提供服务，提供相关技术支持等内容。设立项目技术服务部，固定服务人员，即时解决成果存在的问题以及采购人的技术咨询和服务需求。</w:t>
            </w:r>
            <w:r>
              <w:rPr>
                <w:rFonts w:ascii="仿宋_GB2312" w:hAnsi="仿宋_GB2312" w:cs="仿宋_GB2312" w:eastAsia="仿宋_GB2312"/>
                <w:sz w:val="21"/>
              </w:rPr>
              <w:t xml:space="preserve">         </w:t>
            </w:r>
          </w:p>
          <w:p>
            <w:pPr>
              <w:pStyle w:val="null3"/>
              <w:ind w:firstLine="422"/>
              <w:jc w:val="both"/>
            </w:pPr>
            <w:r>
              <w:rPr>
                <w:rFonts w:ascii="仿宋_GB2312" w:hAnsi="仿宋_GB2312" w:cs="仿宋_GB2312" w:eastAsia="仿宋_GB2312"/>
                <w:sz w:val="21"/>
                <w:b/>
              </w:rPr>
              <w:t>（五）合同实施：</w:t>
            </w:r>
            <w:r>
              <w:rPr>
                <w:rFonts w:ascii="仿宋_GB2312" w:hAnsi="仿宋_GB2312" w:cs="仿宋_GB2312" w:eastAsia="仿宋_GB2312"/>
                <w:sz w:val="24"/>
              </w:rPr>
              <w:t xml:space="preserve"> </w:t>
            </w:r>
          </w:p>
          <w:p>
            <w:pPr>
              <w:pStyle w:val="null3"/>
              <w:ind w:firstLine="420"/>
              <w:jc w:val="both"/>
            </w:pPr>
            <w:r>
              <w:rPr>
                <w:rFonts w:ascii="仿宋_GB2312" w:hAnsi="仿宋_GB2312" w:cs="仿宋_GB2312" w:eastAsia="仿宋_GB2312"/>
                <w:sz w:val="21"/>
              </w:rPr>
              <w:t>1、成交单位应在合同签订后7个工作日内安排人员（项目组成人员简历表所列）与采购人就项目实施等工作进行安排、部署。</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、若未能在服务期内完成合同规定的义务，由此对采购人造成的延误和一切损失，由中标单位承担和赔偿。</w:t>
            </w:r>
          </w:p>
          <w:p>
            <w:pPr>
              <w:pStyle w:val="null3"/>
              <w:ind w:firstLine="422"/>
              <w:jc w:val="both"/>
            </w:pPr>
            <w:r>
              <w:rPr>
                <w:rFonts w:ascii="仿宋_GB2312" w:hAnsi="仿宋_GB2312" w:cs="仿宋_GB2312" w:eastAsia="仿宋_GB2312"/>
                <w:sz w:val="21"/>
                <w:b/>
              </w:rPr>
              <w:t>（六）、违约责任：</w:t>
            </w:r>
          </w:p>
          <w:p>
            <w:pPr>
              <w:pStyle w:val="null3"/>
              <w:ind w:firstLine="420"/>
              <w:jc w:val="both"/>
            </w:pPr>
            <w:r>
              <w:rPr>
                <w:rFonts w:ascii="仿宋_GB2312" w:hAnsi="仿宋_GB2312" w:cs="仿宋_GB2312" w:eastAsia="仿宋_GB2312"/>
                <w:sz w:val="21"/>
              </w:rPr>
              <w:t>1、按《中华人民共和国民法典》、《中华人民共和国政府采购法》中的相关条款执行。</w:t>
            </w:r>
          </w:p>
          <w:p>
            <w:pPr>
              <w:pStyle w:val="null3"/>
              <w:ind w:firstLine="420"/>
              <w:jc w:val="both"/>
            </w:pPr>
            <w:r>
              <w:rPr>
                <w:rFonts w:ascii="仿宋_GB2312" w:hAnsi="仿宋_GB2312" w:cs="仿宋_GB2312" w:eastAsia="仿宋_GB2312"/>
                <w:sz w:val="21"/>
              </w:rPr>
              <w:t>2、按合同要求提供服务或服务质量不能满足技术要求，采购人有权终止合同，并对供方违约行为进行追究，同时按《政府采购法》的有关规定进行处罚。</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成果通过部省市级核查。合同签订后一年，在后期项目实施阶段采购人可根据《政府购买服务管理办法》（财政部令第102号）文件的规定，在费用不变，合同内容不变，且符合合同服务内容和要求，量化考核达标的情况下，为了保证服务工作的延续性，可进行续签，续签合同期限不超过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供应商完成合同约定的所有工作并提交成果资料，经采购人验收合格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一套、副本二套、电子版二套（U盘二套标明投标人名称，随正本密封）。若线上电子投标文件与纸质投标文件不一致的，以线上电子投标文件为准；若正本和副本不符，以正本为准。 线下递交文件时间：详见本项目招标公告文件截止时间；线下递交文件地点：西安市临潼区文化西路37号。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以下方式，二者皆可：①、提供2024年度具有财务审计资质的单位出具的财务报告 （成立时间至开标时间不足一年的可提供成立后任意时段的资产负债表）或开标前六 个月内基本存款账户开户银行出具的资信证明（附开户许可证或基本存款账户信息） 或信用担保机构出具的投标担保函；②根据《西安市临潼区财政局关于开展政府采购 供应商基本资格条件承诺制试点工作的通知》临财函〔2024〕236号，供应商也可 提供《基本资格条件承诺函》以替代财务报告，供应商应保证承诺的真实性，采购人 可以在中标(成交)结果公告后、签订政府采购合同前，核实中标(成交)供应商所作信 用承诺事项的真实性。 供应商需在项目电子化交易系统中按要求上传相应证明文件 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供应商须具备测绘乙级以上（含乙级）资质；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业绩.docx 保密措施.docx 成果移交.docx 人员配备.docx 中小企业声明函 商务应答表.docx 需求分析.docx 资格证明文件.docx 质量保障措施.docx 设备配备.docx 项目进度安排.docx 投标函 残疾人福利性单位声明函 标的清单 整体服务方案.docx 投标文件封面 重难点分析及解决方案.docx 服务内容及服务要求应答表.docx 报价明细表.docx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响应文件签署、签章</w:t>
            </w:r>
          </w:p>
        </w:tc>
        <w:tc>
          <w:tcPr>
            <w:tcW w:type="dxa" w:w="3322"/>
          </w:tcPr>
          <w:p>
            <w:pPr>
              <w:pStyle w:val="null3"/>
            </w:pPr>
            <w:r>
              <w:rPr>
                <w:rFonts w:ascii="仿宋_GB2312" w:hAnsi="仿宋_GB2312" w:cs="仿宋_GB2312" w:eastAsia="仿宋_GB2312"/>
              </w:rPr>
              <w:t>与所投项目名称、项目编号一致，且符合招标文件签署、盖章要求。</w:t>
            </w:r>
          </w:p>
        </w:tc>
        <w:tc>
          <w:tcPr>
            <w:tcW w:type="dxa" w:w="1661"/>
          </w:tcPr>
          <w:p>
            <w:pPr>
              <w:pStyle w:val="null3"/>
            </w:pPr>
            <w:r>
              <w:rPr>
                <w:rFonts w:ascii="仿宋_GB2312" w:hAnsi="仿宋_GB2312" w:cs="仿宋_GB2312" w:eastAsia="仿宋_GB2312"/>
              </w:rPr>
              <w:t>开标一览表 业绩.docx 保密措施.docx 成果移交.docx 人员配备.docx 中小企业声明函 商务应答表.docx 需求分析.docx 资格证明文件.docx 质量保障措施.docx 设备配备.docx 项目进度安排.docx 投标函 残疾人福利性单位声明函 标的清单 整体服务方案.docx 投标文件封面 重难点分析及解决方案.docx 服务内容及服务要求应答表.docx 报价明细表.docx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（1）报价唯一；（2）报价货币符合招标文件要求 ；（3）报价不得超过第二章“供应商须知”前附表规定的采购预算金额或最高限价。</w:t>
            </w:r>
          </w:p>
        </w:tc>
        <w:tc>
          <w:tcPr>
            <w:tcW w:type="dxa" w:w="1661"/>
          </w:tcPr>
          <w:p>
            <w:pPr>
              <w:pStyle w:val="null3"/>
            </w:pPr>
            <w:r>
              <w:rPr>
                <w:rFonts w:ascii="仿宋_GB2312" w:hAnsi="仿宋_GB2312" w:cs="仿宋_GB2312" w:eastAsia="仿宋_GB2312"/>
              </w:rPr>
              <w:t>开标一览表 投标函 标的清单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开标一览表 业绩.docx 保密措施.docx 成果移交.docx 人员配备.docx 中小企业声明函 商务应答表.docx 需求分析.docx 资格证明文件.docx 质量保障措施.docx 设备配备.docx 项目进度安排.docx 投标函 残疾人福利性单位声明函 标的清单 整体服务方案.docx 投标文件封面 重难点分析及解决方案.docx 服务内容及服务要求应答表.docx 报价明细表.docx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1）不同供应商的响应文件由同一单位或者个人编制；（2）不同供应商委托同一单位或者个人办理投标事宜；（3）不同供应商的投标响应文件载明的项目管理成员或者联系人员为同一人；（4）不同供应商的投标响应文件异常一致或者响应报价呈规律性差异。</w:t>
            </w:r>
          </w:p>
        </w:tc>
        <w:tc>
          <w:tcPr>
            <w:tcW w:type="dxa" w:w="1661"/>
          </w:tcPr>
          <w:p>
            <w:pPr>
              <w:pStyle w:val="null3"/>
            </w:pPr>
            <w:r>
              <w:rPr>
                <w:rFonts w:ascii="仿宋_GB2312" w:hAnsi="仿宋_GB2312" w:cs="仿宋_GB2312" w:eastAsia="仿宋_GB2312"/>
              </w:rPr>
              <w:t>开标一览表 业绩.docx 保密措施.docx 成果移交.docx 人员配备.docx 中小企业声明函 商务应答表.docx 需求分析.docx 资格证明文件.docx 质量保障措施.docx 设备配备.docx 项目进度安排.docx 投标函 残疾人福利性单位声明函 标的清单 整体服务方案.docx 投标文件封面 重难点分析及解决方案.docx 服务内容及服务要求应答表.docx 报价明细表.docx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按照采购项目全部商务要求逐条响应，且不可负偏离，否则视为无效投标。</w:t>
            </w:r>
          </w:p>
        </w:tc>
        <w:tc>
          <w:tcPr>
            <w:tcW w:type="dxa" w:w="1661"/>
          </w:tcPr>
          <w:p>
            <w:pPr>
              <w:pStyle w:val="null3"/>
            </w:pPr>
            <w:r>
              <w:rPr>
                <w:rFonts w:ascii="仿宋_GB2312" w:hAnsi="仿宋_GB2312" w:cs="仿宋_GB2312" w:eastAsia="仿宋_GB2312"/>
              </w:rPr>
              <w:t>开标一览表 业绩.docx 保密措施.docx 成果移交.docx 人员配备.docx 中小企业声明函 商务应答表.docx 需求分析.docx 资格证明文件.docx 质量保障措施.docx 设备配备.docx 项目进度安排.docx 投标函 残疾人福利性单位声明函 标的清单 整体服务方案.docx 投标文件封面 重难点分析及解决方案.docx 服务内容及服务要求应答表.docx 报价明细表.docx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供应商针对本项目提供需求分析，内容包括但不限于①对本项目工作内容的理解；②项目背景分析。 方案内容全面详细、阐述条理清晰、针对性强，科学合理。 每项满分3分，缺项不得分，每有一项内容存在瑕疵，扣0.5-2.5分。 “瑕疵”指内容明显错误，或内容表述前后矛盾或内容不完整或表达简单笼统或缺少关键点，或不适用本项目特性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需求分析.docx</w:t>
            </w:r>
          </w:p>
          <w:p>
            <w:pPr>
              <w:pStyle w:val="null3"/>
            </w:pPr>
            <w:r>
              <w:rPr>
                <w:rFonts w:ascii="仿宋_GB2312" w:hAnsi="仿宋_GB2312" w:cs="仿宋_GB2312" w:eastAsia="仿宋_GB2312"/>
              </w:rPr>
              <w:t>服务内容及服务要求应答表.docx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供应商针对本项目提供整体服务方案，内容至少包括①服务内容；②技术标准依据；③ 工作目标④工作范围； 方案内容全面详细、阐述条理清晰、针对性强，科学合理。 每项满分6分，缺项不得分，每有一项内容存在瑕疵，扣0.5-5.5分。 “瑕疵”指内容明显错误，或内容表述前后矛盾或内容不完整或表达简单笼统或缺少关键点，或不适用本项目特性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p>
            <w:pPr>
              <w:pStyle w:val="null3"/>
            </w:pPr>
            <w:r>
              <w:rPr>
                <w:rFonts w:ascii="仿宋_GB2312" w:hAnsi="仿宋_GB2312" w:cs="仿宋_GB2312" w:eastAsia="仿宋_GB2312"/>
              </w:rPr>
              <w:t>服务内容及服务要求应答表.docx</w:t>
            </w:r>
          </w:p>
        </w:tc>
      </w:tr>
      <w:tr>
        <w:tc>
          <w:tcPr>
            <w:tcW w:type="dxa" w:w="831"/>
            <w:vMerge/>
          </w:tcPr>
          <w:p/>
        </w:tc>
        <w:tc>
          <w:tcPr>
            <w:tcW w:type="dxa" w:w="1661"/>
          </w:tcPr>
          <w:p>
            <w:pPr>
              <w:pStyle w:val="null3"/>
            </w:pPr>
            <w:r>
              <w:rPr>
                <w:rFonts w:ascii="仿宋_GB2312" w:hAnsi="仿宋_GB2312" w:cs="仿宋_GB2312" w:eastAsia="仿宋_GB2312"/>
              </w:rPr>
              <w:t>重难点分析及解决方案</w:t>
            </w:r>
          </w:p>
        </w:tc>
        <w:tc>
          <w:tcPr>
            <w:tcW w:type="dxa" w:w="2492"/>
          </w:tcPr>
          <w:p>
            <w:pPr>
              <w:pStyle w:val="null3"/>
            </w:pPr>
            <w:r>
              <w:rPr>
                <w:rFonts w:ascii="仿宋_GB2312" w:hAnsi="仿宋_GB2312" w:cs="仿宋_GB2312" w:eastAsia="仿宋_GB2312"/>
              </w:rPr>
              <w:t>供应商针对本项目提供项目重点、难点分析，内容包括但不限于 ①重点、难点分析；② 关于重难点的应对措施。 方案内容全面详细、阐述条理清晰、针对性强，科学合理。 每项满分3分，缺项不得分，每有一项内容存在瑕疵，扣0.5-2.5分。 “瑕疵”指内容明显错误，或内容表述前后矛盾或内容不完整或表达简单笼统或缺少关键点，或不适用本项目特性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重难点分析及解决方案.docx</w:t>
            </w:r>
          </w:p>
          <w:p>
            <w:pPr>
              <w:pStyle w:val="null3"/>
            </w:pPr>
            <w:r>
              <w:rPr>
                <w:rFonts w:ascii="仿宋_GB2312" w:hAnsi="仿宋_GB2312" w:cs="仿宋_GB2312" w:eastAsia="仿宋_GB2312"/>
              </w:rPr>
              <w:t>服务内容及服务要求应答表.docx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供应商根据项目实际需求，编制详细的进度计划安排，内容包括但不限于①项目实施进 度计划；②项目完成进度保障措施；③突发情况的应急方案。 方案内容全面详细、阐述条理清晰、针对性强，科学合理，能确保项目顺利完成。 每项满分4分，缺项不得分，每有一项内容存在瑕疵，扣0.5-3.5分。 “瑕疵”指内容明显错误，或内容表述前后矛盾或内容不完整或表达简单笼统或缺少关键点，或不适用本项目特性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项目进度安排.docx</w:t>
            </w:r>
          </w:p>
          <w:p>
            <w:pPr>
              <w:pStyle w:val="null3"/>
            </w:pPr>
            <w:r>
              <w:rPr>
                <w:rFonts w:ascii="仿宋_GB2312" w:hAnsi="仿宋_GB2312" w:cs="仿宋_GB2312" w:eastAsia="仿宋_GB2312"/>
              </w:rPr>
              <w:t>服务内容及服务要求应答表.docx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供应商针对本项目提供质量保证措施，内容包括但不限于①质量保障方案；②质量目标；③服务承诺。 方案内容全面详细、阐述条理清晰、针对性强，科学合理。 每项满分3分，缺项不得分，每有一项内容存在瑕疵，扣0.5-2.5分。 “瑕疵”指内容明显错误，或内容表述前后矛盾或内容不完整或表达简单笼统或缺少关键点，或不适用本项目特性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质量保障措施.docx</w:t>
            </w:r>
          </w:p>
          <w:p>
            <w:pPr>
              <w:pStyle w:val="null3"/>
            </w:pPr>
            <w:r>
              <w:rPr>
                <w:rFonts w:ascii="仿宋_GB2312" w:hAnsi="仿宋_GB2312" w:cs="仿宋_GB2312" w:eastAsia="仿宋_GB2312"/>
              </w:rPr>
              <w:t>服务内容及服务要求应答表.docx</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配备专业的仪器设备，从数量、质量及其先进可靠性等方面满足本项目需求，得5分；配备一般得3分；配备简单的1分；未提供不得分。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设备配备.docx</w:t>
            </w:r>
          </w:p>
          <w:p>
            <w:pPr>
              <w:pStyle w:val="null3"/>
            </w:pPr>
            <w:r>
              <w:rPr>
                <w:rFonts w:ascii="仿宋_GB2312" w:hAnsi="仿宋_GB2312" w:cs="仿宋_GB2312" w:eastAsia="仿宋_GB2312"/>
              </w:rPr>
              <w:t>服务内容及服务要求应答表.docx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 ①拟投入本项目的项目负责人具有测绘相关专业高级及以上职称计4分，中级职称计1分，其他情况不计分； ②项目负责人有丰富的相关领域工作经验和曾担任过类似项目（提供证明材料），每提供一个业绩计1分，满分2分。 2、项目团队配置： 拟投入本项目的服务团队人员工分工明确，经验丰富（包含项目负责人）10人以上（含10人）计6分，每少1人扣1分，扣完为止； 备注：提供上述人员的学历证书、职称证书、本单位为其缴纳的连续近 3 个月的社保证明等，提供不全或未提供均不得分。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人员配备.docx</w:t>
            </w:r>
          </w:p>
          <w:p>
            <w:pPr>
              <w:pStyle w:val="null3"/>
            </w:pPr>
            <w:r>
              <w:rPr>
                <w:rFonts w:ascii="仿宋_GB2312" w:hAnsi="仿宋_GB2312" w:cs="仿宋_GB2312" w:eastAsia="仿宋_GB2312"/>
              </w:rPr>
              <w:t>服务内容及服务要求应答表.docx</w:t>
            </w:r>
          </w:p>
        </w:tc>
      </w:tr>
      <w:tr>
        <w:tc>
          <w:tcPr>
            <w:tcW w:type="dxa" w:w="831"/>
            <w:vMerge/>
          </w:tcPr>
          <w:p/>
        </w:tc>
        <w:tc>
          <w:tcPr>
            <w:tcW w:type="dxa" w:w="1661"/>
          </w:tcPr>
          <w:p>
            <w:pPr>
              <w:pStyle w:val="null3"/>
            </w:pPr>
            <w:r>
              <w:rPr>
                <w:rFonts w:ascii="仿宋_GB2312" w:hAnsi="仿宋_GB2312" w:cs="仿宋_GB2312" w:eastAsia="仿宋_GB2312"/>
              </w:rPr>
              <w:t>成果移交</w:t>
            </w:r>
          </w:p>
        </w:tc>
        <w:tc>
          <w:tcPr>
            <w:tcW w:type="dxa" w:w="2492"/>
          </w:tcPr>
          <w:p>
            <w:pPr>
              <w:pStyle w:val="null3"/>
            </w:pPr>
            <w:r>
              <w:rPr>
                <w:rFonts w:ascii="仿宋_GB2312" w:hAnsi="仿宋_GB2312" w:cs="仿宋_GB2312" w:eastAsia="仿宋_GB2312"/>
              </w:rPr>
              <w:t>成果分类合理、内容齐全、成果描述具体详实，有详细的移交方案，得5分； 成果分类基本合理、内容基本齐全，成果描述基本详实，移交方案简单；得3分； 预期成果分类不合理、内容缺失的得1分；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成果移交.docx</w:t>
            </w:r>
          </w:p>
          <w:p>
            <w:pPr>
              <w:pStyle w:val="null3"/>
            </w:pPr>
            <w:r>
              <w:rPr>
                <w:rFonts w:ascii="仿宋_GB2312" w:hAnsi="仿宋_GB2312" w:cs="仿宋_GB2312" w:eastAsia="仿宋_GB2312"/>
              </w:rPr>
              <w:t>服务内容及服务要求应答表.docx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供应商针对本项目提供保密措施，内容包括但不限于①保密管理制度；②保密内容；③具体工作保密措施；④保密承诺等。 方案内容全面详细、阐述条理清晰、针对性强，实施性科学合理。 每项满分1.5分，缺项不得分，每有一项内容存在瑕疵，扣0.5-1分。 “瑕疵”指内容明显错误，或内容表述前后矛盾或内容不完整或表达简单笼统或缺少关键点，或不适用本项目特性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保密措施.docx</w:t>
            </w:r>
          </w:p>
          <w:p>
            <w:pPr>
              <w:pStyle w:val="null3"/>
            </w:pPr>
            <w:r>
              <w:rPr>
                <w:rFonts w:ascii="仿宋_GB2312" w:hAnsi="仿宋_GB2312" w:cs="仿宋_GB2312" w:eastAsia="仿宋_GB2312"/>
              </w:rPr>
              <w:t>服务内容及服务要求应答表.docx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供应商提供2022年8月1日至今（以合同签订时间为准）国土变更调查或类似项目业绩，业绩证明材料以加盖公章的合同（协议）或中标（成交）通知书复印件为准，每提供一份计1分，满分5分。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服务内容及服务要求应答表.docx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满足招标文件要求且投标价格最低的投标报价为评审基准价，其价格分为满分。其他供应商的价格分统一按照下列公式计算：投标报价得分=（评审基准价/投标报价）×价格权值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详见附件：需求分析.docx</w:t>
      </w:r>
    </w:p>
    <w:p>
      <w:pPr>
        <w:pStyle w:val="null3"/>
        <w:ind w:firstLine="960"/>
      </w:pPr>
      <w:r>
        <w:rPr>
          <w:rFonts w:ascii="仿宋_GB2312" w:hAnsi="仿宋_GB2312" w:cs="仿宋_GB2312" w:eastAsia="仿宋_GB2312"/>
        </w:rPr>
        <w:t>详见附件：整体服务方案.docx</w:t>
      </w:r>
    </w:p>
    <w:p>
      <w:pPr>
        <w:pStyle w:val="null3"/>
        <w:ind w:firstLine="960"/>
      </w:pPr>
      <w:r>
        <w:rPr>
          <w:rFonts w:ascii="仿宋_GB2312" w:hAnsi="仿宋_GB2312" w:cs="仿宋_GB2312" w:eastAsia="仿宋_GB2312"/>
        </w:rPr>
        <w:t>详见附件：重难点分析及解决方案.docx</w:t>
      </w:r>
    </w:p>
    <w:p>
      <w:pPr>
        <w:pStyle w:val="null3"/>
        <w:ind w:firstLine="960"/>
      </w:pPr>
      <w:r>
        <w:rPr>
          <w:rFonts w:ascii="仿宋_GB2312" w:hAnsi="仿宋_GB2312" w:cs="仿宋_GB2312" w:eastAsia="仿宋_GB2312"/>
        </w:rPr>
        <w:t>详见附件：项目进度安排.docx</w:t>
      </w:r>
    </w:p>
    <w:p>
      <w:pPr>
        <w:pStyle w:val="null3"/>
        <w:ind w:firstLine="960"/>
      </w:pPr>
      <w:r>
        <w:rPr>
          <w:rFonts w:ascii="仿宋_GB2312" w:hAnsi="仿宋_GB2312" w:cs="仿宋_GB2312" w:eastAsia="仿宋_GB2312"/>
        </w:rPr>
        <w:t>详见附件：质量保障措施.docx</w:t>
      </w:r>
    </w:p>
    <w:p>
      <w:pPr>
        <w:pStyle w:val="null3"/>
        <w:ind w:firstLine="960"/>
      </w:pPr>
      <w:r>
        <w:rPr>
          <w:rFonts w:ascii="仿宋_GB2312" w:hAnsi="仿宋_GB2312" w:cs="仿宋_GB2312" w:eastAsia="仿宋_GB2312"/>
        </w:rPr>
        <w:t>详见附件：设备配备.docx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详见附件：成果移交.docx</w:t>
      </w:r>
    </w:p>
    <w:p>
      <w:pPr>
        <w:pStyle w:val="null3"/>
        <w:ind w:firstLine="960"/>
      </w:pPr>
      <w:r>
        <w:rPr>
          <w:rFonts w:ascii="仿宋_GB2312" w:hAnsi="仿宋_GB2312" w:cs="仿宋_GB2312" w:eastAsia="仿宋_GB2312"/>
        </w:rPr>
        <w:t>详见附件：保密措施.docx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