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4AF25D">
      <w:pPr>
        <w:spacing w:line="56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项目编号：       </w:t>
      </w:r>
    </w:p>
    <w:p w14:paraId="3EBFB199">
      <w:pPr>
        <w:spacing w:line="560" w:lineRule="exact"/>
        <w:rPr>
          <w:rFonts w:hint="eastAsia" w:ascii="宋体" w:hAnsi="宋体" w:eastAsia="宋体" w:cs="宋体"/>
          <w:color w:val="auto"/>
          <w:sz w:val="28"/>
          <w:szCs w:val="28"/>
          <w:highlight w:val="none"/>
        </w:rPr>
      </w:pPr>
    </w:p>
    <w:p w14:paraId="264E7794">
      <w:pPr>
        <w:spacing w:line="480" w:lineRule="auto"/>
        <w:jc w:val="center"/>
        <w:rPr>
          <w:rFonts w:hint="eastAsia" w:ascii="宋体" w:hAnsi="宋体" w:eastAsia="宋体" w:cs="宋体"/>
          <w:color w:val="auto"/>
          <w:sz w:val="48"/>
          <w:szCs w:val="48"/>
          <w:highlight w:val="none"/>
          <w:lang w:eastAsia="zh-CN"/>
        </w:rPr>
      </w:pPr>
    </w:p>
    <w:p w14:paraId="620A1302">
      <w:pPr>
        <w:pStyle w:val="8"/>
        <w:jc w:val="center"/>
        <w:rPr>
          <w:rFonts w:hint="eastAsia" w:ascii="宋体" w:hAnsi="宋体" w:eastAsia="宋体" w:cs="宋体"/>
          <w:color w:val="auto"/>
          <w:highlight w:val="none"/>
        </w:rPr>
      </w:pPr>
      <w:r>
        <w:rPr>
          <w:rFonts w:hint="eastAsia" w:ascii="宋体" w:hAnsi="宋体" w:cs="宋体"/>
          <w:b/>
          <w:bCs/>
          <w:color w:val="auto"/>
          <w:sz w:val="48"/>
          <w:szCs w:val="48"/>
          <w:highlight w:val="none"/>
          <w:lang w:eastAsia="zh-CN"/>
        </w:rPr>
        <w:t>临潼区2024年城市国土空间监测项目</w:t>
      </w:r>
    </w:p>
    <w:p w14:paraId="0A5B0140">
      <w:pPr>
        <w:spacing w:line="560" w:lineRule="exact"/>
        <w:jc w:val="center"/>
        <w:rPr>
          <w:rFonts w:hint="eastAsia" w:ascii="宋体" w:hAnsi="宋体" w:eastAsia="宋体" w:cs="宋体"/>
          <w:b/>
          <w:color w:val="auto"/>
          <w:sz w:val="44"/>
          <w:szCs w:val="44"/>
          <w:highlight w:val="none"/>
        </w:rPr>
      </w:pPr>
    </w:p>
    <w:p w14:paraId="2FC37EEB">
      <w:pPr>
        <w:spacing w:line="560" w:lineRule="exact"/>
        <w:jc w:val="center"/>
        <w:rPr>
          <w:rFonts w:hint="eastAsia" w:ascii="宋体" w:hAnsi="宋体" w:eastAsia="宋体" w:cs="宋体"/>
          <w:b/>
          <w:color w:val="auto"/>
          <w:sz w:val="44"/>
          <w:szCs w:val="44"/>
          <w:highlight w:val="none"/>
        </w:rPr>
      </w:pPr>
    </w:p>
    <w:p w14:paraId="3E09A12E">
      <w:pPr>
        <w:spacing w:line="560" w:lineRule="exact"/>
        <w:jc w:val="center"/>
        <w:rPr>
          <w:rFonts w:hint="eastAsia" w:ascii="宋体" w:hAnsi="宋体" w:eastAsia="宋体" w:cs="宋体"/>
          <w:b/>
          <w:color w:val="auto"/>
          <w:sz w:val="44"/>
          <w:szCs w:val="44"/>
          <w:highlight w:val="none"/>
        </w:rPr>
      </w:pPr>
    </w:p>
    <w:p w14:paraId="4B1086B5">
      <w:pPr>
        <w:spacing w:line="560" w:lineRule="exact"/>
        <w:jc w:val="center"/>
        <w:rPr>
          <w:rFonts w:hint="eastAsia" w:ascii="宋体" w:hAnsi="宋体" w:eastAsia="宋体" w:cs="宋体"/>
          <w:b/>
          <w:color w:val="auto"/>
          <w:sz w:val="44"/>
          <w:szCs w:val="44"/>
          <w:highlight w:val="none"/>
        </w:rPr>
      </w:pPr>
      <w:r>
        <w:rPr>
          <w:rFonts w:hint="eastAsia" w:ascii="宋体" w:hAnsi="宋体" w:eastAsia="宋体" w:cs="宋体"/>
          <w:b/>
          <w:color w:val="auto"/>
          <w:sz w:val="56"/>
          <w:szCs w:val="56"/>
          <w:highlight w:val="none"/>
        </w:rPr>
        <w:t>服 务 合 同</w:t>
      </w:r>
    </w:p>
    <w:p w14:paraId="58F15428">
      <w:pPr>
        <w:spacing w:line="560" w:lineRule="exact"/>
        <w:rPr>
          <w:rFonts w:hint="eastAsia" w:ascii="宋体" w:hAnsi="宋体" w:eastAsia="宋体" w:cs="宋体"/>
          <w:color w:val="auto"/>
          <w:sz w:val="32"/>
          <w:szCs w:val="32"/>
          <w:highlight w:val="none"/>
        </w:rPr>
      </w:pPr>
    </w:p>
    <w:p w14:paraId="5AFE4090">
      <w:pPr>
        <w:spacing w:line="560" w:lineRule="exact"/>
        <w:ind w:firstLine="843" w:firstLineChars="400"/>
        <w:rPr>
          <w:rFonts w:hint="eastAsia" w:ascii="宋体" w:hAnsi="宋体" w:eastAsia="宋体" w:cs="宋体"/>
          <w:b/>
          <w:color w:val="auto"/>
          <w:highlight w:val="none"/>
        </w:rPr>
      </w:pPr>
    </w:p>
    <w:p w14:paraId="262960CC">
      <w:pPr>
        <w:spacing w:line="560" w:lineRule="exact"/>
        <w:ind w:firstLine="843" w:firstLineChars="400"/>
        <w:rPr>
          <w:rFonts w:hint="eastAsia" w:ascii="宋体" w:hAnsi="宋体" w:eastAsia="宋体" w:cs="宋体"/>
          <w:b/>
          <w:color w:val="auto"/>
          <w:highlight w:val="none"/>
        </w:rPr>
      </w:pPr>
    </w:p>
    <w:p w14:paraId="5382A2C1">
      <w:pPr>
        <w:spacing w:line="560" w:lineRule="exact"/>
        <w:ind w:firstLine="843" w:firstLineChars="400"/>
        <w:rPr>
          <w:rFonts w:hint="eastAsia" w:ascii="宋体" w:hAnsi="宋体" w:eastAsia="宋体" w:cs="宋体"/>
          <w:b/>
          <w:color w:val="auto"/>
          <w:highlight w:val="none"/>
        </w:rPr>
      </w:pPr>
    </w:p>
    <w:p w14:paraId="49089E3D">
      <w:pPr>
        <w:spacing w:line="560" w:lineRule="exact"/>
        <w:ind w:firstLine="843" w:firstLineChars="400"/>
        <w:rPr>
          <w:rFonts w:hint="eastAsia" w:ascii="宋体" w:hAnsi="宋体" w:eastAsia="宋体" w:cs="宋体"/>
          <w:b/>
          <w:color w:val="auto"/>
          <w:highlight w:val="none"/>
        </w:rPr>
      </w:pPr>
    </w:p>
    <w:p w14:paraId="565E324C">
      <w:pPr>
        <w:spacing w:line="560" w:lineRule="exact"/>
        <w:ind w:firstLine="843" w:firstLineChars="400"/>
        <w:rPr>
          <w:rFonts w:hint="eastAsia" w:ascii="宋体" w:hAnsi="宋体" w:eastAsia="宋体" w:cs="宋体"/>
          <w:b/>
          <w:color w:val="auto"/>
          <w:highlight w:val="none"/>
        </w:rPr>
      </w:pPr>
    </w:p>
    <w:p w14:paraId="5D5DA436">
      <w:pPr>
        <w:spacing w:line="720" w:lineRule="auto"/>
        <w:ind w:firstLine="1124" w:firstLineChars="400"/>
        <w:rPr>
          <w:rFonts w:hint="eastAsia" w:ascii="宋体" w:hAnsi="宋体" w:eastAsia="宋体" w:cs="宋体"/>
          <w:color w:val="auto"/>
          <w:sz w:val="28"/>
          <w:szCs w:val="28"/>
          <w:highlight w:val="none"/>
        </w:rPr>
      </w:pPr>
      <w:r>
        <w:rPr>
          <w:rFonts w:hint="eastAsia" w:ascii="宋体" w:hAnsi="宋体" w:eastAsia="宋体" w:cs="宋体"/>
          <w:b/>
          <w:color w:val="auto"/>
          <w:sz w:val="28"/>
          <w:szCs w:val="28"/>
          <w:highlight w:val="none"/>
        </w:rPr>
        <w:t>采购人：</w:t>
      </w:r>
      <w:r>
        <w:rPr>
          <w:rFonts w:hint="eastAsia" w:ascii="宋体" w:hAnsi="宋体" w:eastAsia="宋体" w:cs="宋体"/>
          <w:b/>
          <w:color w:val="auto"/>
          <w:sz w:val="28"/>
          <w:szCs w:val="28"/>
          <w:highlight w:val="none"/>
          <w:u w:val="single"/>
        </w:rPr>
        <w:t xml:space="preserve">                                  </w:t>
      </w:r>
    </w:p>
    <w:p w14:paraId="123A8B8C">
      <w:pPr>
        <w:spacing w:line="720" w:lineRule="auto"/>
        <w:ind w:firstLine="1124" w:firstLineChars="400"/>
        <w:rPr>
          <w:rFonts w:hint="eastAsia" w:ascii="宋体" w:hAnsi="宋体" w:eastAsia="宋体" w:cs="宋体"/>
          <w:color w:val="auto"/>
          <w:sz w:val="28"/>
          <w:szCs w:val="28"/>
          <w:highlight w:val="none"/>
        </w:rPr>
      </w:pPr>
      <w:r>
        <w:rPr>
          <w:rFonts w:hint="eastAsia" w:ascii="宋体" w:hAnsi="宋体" w:eastAsia="宋体" w:cs="宋体"/>
          <w:b/>
          <w:color w:val="auto"/>
          <w:sz w:val="28"/>
          <w:szCs w:val="28"/>
          <w:highlight w:val="none"/>
        </w:rPr>
        <w:t xml:space="preserve">供应商： </w:t>
      </w:r>
      <w:r>
        <w:rPr>
          <w:rFonts w:hint="eastAsia" w:ascii="宋体" w:hAnsi="宋体" w:eastAsia="宋体" w:cs="宋体"/>
          <w:b/>
          <w:color w:val="auto"/>
          <w:sz w:val="28"/>
          <w:szCs w:val="28"/>
          <w:highlight w:val="none"/>
          <w:u w:val="single"/>
        </w:rPr>
        <w:t xml:space="preserve">                                </w:t>
      </w:r>
    </w:p>
    <w:p w14:paraId="7AE4D4DB">
      <w:pPr>
        <w:spacing w:line="720" w:lineRule="auto"/>
        <w:jc w:val="center"/>
        <w:rPr>
          <w:rFonts w:hint="eastAsia" w:ascii="宋体" w:hAnsi="宋体" w:eastAsia="宋体" w:cs="宋体"/>
          <w:color w:val="auto"/>
          <w:sz w:val="28"/>
          <w:szCs w:val="28"/>
          <w:highlight w:val="none"/>
        </w:rPr>
      </w:pPr>
    </w:p>
    <w:p w14:paraId="2E90AB71">
      <w:pPr>
        <w:spacing w:line="720" w:lineRule="auto"/>
        <w:jc w:val="center"/>
        <w:rPr>
          <w:rFonts w:hint="eastAsia" w:ascii="宋体" w:hAnsi="宋体" w:eastAsia="宋体" w:cs="宋体"/>
          <w:color w:val="auto"/>
          <w:szCs w:val="21"/>
          <w:highlight w:val="none"/>
        </w:rPr>
      </w:pPr>
      <w:r>
        <w:rPr>
          <w:rFonts w:hint="eastAsia" w:ascii="宋体" w:hAnsi="宋体" w:eastAsia="宋体" w:cs="宋体"/>
          <w:color w:val="auto"/>
          <w:sz w:val="28"/>
          <w:szCs w:val="28"/>
          <w:highlight w:val="none"/>
        </w:rPr>
        <w:t>二〇二</w:t>
      </w:r>
      <w:r>
        <w:rPr>
          <w:rFonts w:hint="eastAsia" w:ascii="宋体" w:hAnsi="宋体" w:cs="宋体"/>
          <w:color w:val="auto"/>
          <w:sz w:val="28"/>
          <w:szCs w:val="28"/>
          <w:highlight w:val="none"/>
          <w:lang w:val="en-US" w:eastAsia="zh-CN"/>
        </w:rPr>
        <w:t>五</w:t>
      </w:r>
      <w:r>
        <w:rPr>
          <w:rFonts w:hint="eastAsia" w:ascii="宋体" w:hAnsi="宋体" w:eastAsia="宋体" w:cs="宋体"/>
          <w:color w:val="auto"/>
          <w:sz w:val="28"/>
          <w:szCs w:val="28"/>
          <w:highlight w:val="none"/>
        </w:rPr>
        <w:t>年  月</w:t>
      </w:r>
    </w:p>
    <w:p w14:paraId="553E5D17">
      <w:pPr>
        <w:pStyle w:val="8"/>
        <w:pageBreakBefore w:val="0"/>
        <w:kinsoku/>
        <w:wordWrap/>
        <w:overflowPunct/>
        <w:topLinePunct w:val="0"/>
        <w:bidi w:val="0"/>
        <w:spacing w:line="360" w:lineRule="auto"/>
        <w:ind w:firstLine="402" w:firstLineChars="200"/>
        <w:textAlignment w:val="auto"/>
        <w:rPr>
          <w:rFonts w:hint="eastAsia" w:ascii="宋体" w:hAnsi="宋体" w:eastAsia="宋体" w:cs="宋体"/>
          <w:b/>
          <w:color w:val="auto"/>
          <w:sz w:val="20"/>
          <w:szCs w:val="20"/>
          <w:highlight w:val="none"/>
        </w:rPr>
      </w:pPr>
    </w:p>
    <w:p w14:paraId="65BD883F">
      <w:pPr>
        <w:pStyle w:val="8"/>
        <w:pageBreakBefore w:val="0"/>
        <w:kinsoku/>
        <w:wordWrap/>
        <w:overflowPunct/>
        <w:topLinePunct w:val="0"/>
        <w:bidi w:val="0"/>
        <w:spacing w:line="360" w:lineRule="auto"/>
        <w:ind w:firstLine="402" w:firstLineChars="200"/>
        <w:textAlignment w:val="auto"/>
        <w:rPr>
          <w:rFonts w:hint="eastAsia" w:ascii="宋体" w:hAnsi="宋体" w:eastAsia="宋体" w:cs="宋体"/>
          <w:b/>
          <w:color w:val="auto"/>
          <w:sz w:val="20"/>
          <w:szCs w:val="20"/>
          <w:highlight w:val="none"/>
        </w:rPr>
      </w:pPr>
    </w:p>
    <w:p w14:paraId="1D2DCA85">
      <w:pPr>
        <w:pStyle w:val="8"/>
        <w:pageBreakBefore w:val="0"/>
        <w:kinsoku/>
        <w:wordWrap/>
        <w:overflowPunct/>
        <w:topLinePunct w:val="0"/>
        <w:bidi w:val="0"/>
        <w:spacing w:line="360" w:lineRule="auto"/>
        <w:ind w:firstLine="402" w:firstLineChars="200"/>
        <w:textAlignment w:val="auto"/>
        <w:rPr>
          <w:rFonts w:hint="eastAsia" w:ascii="宋体" w:hAnsi="宋体" w:eastAsia="宋体" w:cs="宋体"/>
          <w:b/>
          <w:color w:val="auto"/>
          <w:sz w:val="20"/>
          <w:szCs w:val="20"/>
          <w:highlight w:val="none"/>
        </w:rPr>
      </w:pPr>
    </w:p>
    <w:p w14:paraId="13152573">
      <w:pPr>
        <w:pStyle w:val="8"/>
        <w:pageBreakBefore w:val="0"/>
        <w:kinsoku/>
        <w:wordWrap/>
        <w:overflowPunct/>
        <w:topLinePunct w:val="0"/>
        <w:bidi w:val="0"/>
        <w:spacing w:line="360" w:lineRule="auto"/>
        <w:ind w:firstLine="402" w:firstLineChars="200"/>
        <w:textAlignment w:val="auto"/>
        <w:rPr>
          <w:rFonts w:hint="eastAsia" w:ascii="宋体" w:hAnsi="宋体" w:eastAsia="宋体" w:cs="宋体"/>
          <w:b/>
          <w:color w:val="auto"/>
          <w:sz w:val="20"/>
          <w:szCs w:val="20"/>
          <w:highlight w:val="none"/>
        </w:rPr>
      </w:pPr>
    </w:p>
    <w:p w14:paraId="0154CA7B">
      <w:pPr>
        <w:pStyle w:val="8"/>
        <w:pageBreakBefore w:val="0"/>
        <w:kinsoku/>
        <w:wordWrap/>
        <w:overflowPunct/>
        <w:topLinePunct w:val="0"/>
        <w:bidi w:val="0"/>
        <w:spacing w:line="360" w:lineRule="auto"/>
        <w:ind w:firstLine="402" w:firstLineChars="200"/>
        <w:textAlignment w:val="auto"/>
        <w:rPr>
          <w:rFonts w:hint="eastAsia" w:ascii="宋体" w:hAnsi="宋体" w:eastAsia="宋体" w:cs="宋体"/>
          <w:b/>
          <w:color w:val="auto"/>
          <w:sz w:val="20"/>
          <w:szCs w:val="20"/>
          <w:highlight w:val="none"/>
          <w:u w:val="single"/>
          <w:lang w:val="en-US" w:eastAsia="zh-CN"/>
        </w:rPr>
      </w:pPr>
      <w:r>
        <w:rPr>
          <w:rFonts w:hint="eastAsia" w:ascii="宋体" w:hAnsi="宋体" w:eastAsia="宋体" w:cs="宋体"/>
          <w:b/>
          <w:color w:val="auto"/>
          <w:sz w:val="20"/>
          <w:szCs w:val="20"/>
          <w:highlight w:val="none"/>
        </w:rPr>
        <w:t>甲方</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u w:val="single"/>
          <w:lang w:val="en-US" w:eastAsia="zh-CN"/>
        </w:rPr>
        <w:t xml:space="preserve">                           </w:t>
      </w:r>
    </w:p>
    <w:p w14:paraId="5107A371">
      <w:pPr>
        <w:pageBreakBefore w:val="0"/>
        <w:kinsoku/>
        <w:wordWrap/>
        <w:overflowPunct/>
        <w:topLinePunct w:val="0"/>
        <w:bidi w:val="0"/>
        <w:adjustRightInd w:val="0"/>
        <w:snapToGrid w:val="0"/>
        <w:spacing w:line="360" w:lineRule="auto"/>
        <w:ind w:firstLine="402" w:firstLineChars="200"/>
        <w:textAlignment w:val="auto"/>
        <w:rPr>
          <w:rFonts w:hint="eastAsia" w:ascii="宋体" w:hAnsi="宋体" w:eastAsia="宋体" w:cs="宋体"/>
          <w:color w:val="auto"/>
          <w:sz w:val="20"/>
          <w:szCs w:val="20"/>
          <w:highlight w:val="none"/>
          <w:u w:val="single"/>
        </w:rPr>
      </w:pPr>
      <w:r>
        <w:rPr>
          <w:rFonts w:hint="eastAsia" w:ascii="宋体" w:hAnsi="宋体" w:eastAsia="宋体" w:cs="宋体"/>
          <w:b/>
          <w:color w:val="auto"/>
          <w:sz w:val="20"/>
          <w:szCs w:val="20"/>
          <w:highlight w:val="none"/>
        </w:rPr>
        <w:t>乙方</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u w:val="single"/>
          <w:lang w:val="en-US" w:eastAsia="zh-CN"/>
        </w:rPr>
        <w:t xml:space="preserve">                           </w:t>
      </w:r>
    </w:p>
    <w:p w14:paraId="2CEFE69A">
      <w:pPr>
        <w:pageBreakBefore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依据《中华人民共和国民法典》、《中华人民共和国政府采购法》</w:t>
      </w:r>
      <w:r>
        <w:rPr>
          <w:rFonts w:hint="eastAsia" w:ascii="宋体" w:hAnsi="宋体" w:eastAsia="宋体" w:cs="宋体"/>
          <w:color w:val="auto"/>
          <w:sz w:val="20"/>
          <w:szCs w:val="20"/>
          <w:highlight w:val="none"/>
          <w:lang w:val="en-US" w:eastAsia="zh-CN"/>
        </w:rPr>
        <w:t>等相关</w:t>
      </w:r>
      <w:r>
        <w:rPr>
          <w:rFonts w:hint="eastAsia" w:ascii="宋体" w:hAnsi="宋体" w:eastAsia="宋体" w:cs="宋体"/>
          <w:color w:val="auto"/>
          <w:sz w:val="20"/>
          <w:szCs w:val="20"/>
          <w:highlight w:val="none"/>
        </w:rPr>
        <w:t>法律法规，以及</w:t>
      </w:r>
      <w:r>
        <w:rPr>
          <w:rFonts w:hint="eastAsia" w:ascii="宋体" w:hAnsi="宋体" w:eastAsia="宋体" w:cs="宋体"/>
          <w:color w:val="auto"/>
          <w:sz w:val="20"/>
          <w:szCs w:val="20"/>
          <w:highlight w:val="none"/>
          <w:lang w:val="en-US" w:eastAsia="zh-CN"/>
        </w:rPr>
        <w:t xml:space="preserve"> 临潼区2024年城市国土空间监测项目</w:t>
      </w:r>
      <w:r>
        <w:rPr>
          <w:rFonts w:hint="eastAsia" w:ascii="宋体" w:hAnsi="宋体" w:eastAsia="宋体" w:cs="宋体"/>
          <w:color w:val="auto"/>
          <w:sz w:val="20"/>
          <w:szCs w:val="20"/>
          <w:highlight w:val="none"/>
          <w:u w:val="single"/>
        </w:rPr>
        <w:t>（项目编号：HYZB20250018）</w:t>
      </w:r>
      <w:r>
        <w:rPr>
          <w:rFonts w:hint="eastAsia" w:ascii="宋体" w:hAnsi="宋体" w:eastAsia="宋体" w:cs="宋体"/>
          <w:color w:val="auto"/>
          <w:sz w:val="20"/>
          <w:szCs w:val="20"/>
          <w:highlight w:val="none"/>
          <w:u w:val="none"/>
          <w:lang w:val="en-US" w:eastAsia="zh-CN"/>
        </w:rPr>
        <w:t>成交</w:t>
      </w:r>
      <w:r>
        <w:rPr>
          <w:rFonts w:hint="eastAsia" w:ascii="宋体" w:hAnsi="宋体" w:eastAsia="宋体" w:cs="宋体"/>
          <w:color w:val="auto"/>
          <w:sz w:val="20"/>
          <w:szCs w:val="20"/>
          <w:highlight w:val="none"/>
        </w:rPr>
        <w:t>供应商。依据《中华人民共和国政府采购法》、《中华人民共和国民法典》等国家有关法律、法规规定以及</w:t>
      </w:r>
      <w:r>
        <w:rPr>
          <w:rFonts w:hint="eastAsia" w:ascii="宋体" w:hAnsi="宋体" w:eastAsia="宋体" w:cs="宋体"/>
          <w:color w:val="auto"/>
          <w:sz w:val="20"/>
          <w:szCs w:val="20"/>
          <w:highlight w:val="none"/>
          <w:lang w:val="en-US" w:eastAsia="zh-CN"/>
        </w:rPr>
        <w:t>响应</w:t>
      </w:r>
      <w:r>
        <w:rPr>
          <w:rFonts w:hint="eastAsia" w:ascii="宋体" w:hAnsi="宋体" w:eastAsia="宋体" w:cs="宋体"/>
          <w:color w:val="auto"/>
          <w:sz w:val="20"/>
          <w:szCs w:val="20"/>
          <w:highlight w:val="none"/>
        </w:rPr>
        <w:t>文件、</w:t>
      </w:r>
      <w:r>
        <w:rPr>
          <w:rFonts w:hint="eastAsia" w:ascii="宋体" w:hAnsi="宋体" w:eastAsia="宋体" w:cs="宋体"/>
          <w:color w:val="auto"/>
          <w:sz w:val="20"/>
          <w:szCs w:val="20"/>
          <w:highlight w:val="none"/>
          <w:lang w:val="en-US" w:eastAsia="zh-CN"/>
        </w:rPr>
        <w:t>成交</w:t>
      </w:r>
      <w:r>
        <w:rPr>
          <w:rFonts w:hint="eastAsia" w:ascii="宋体" w:hAnsi="宋体" w:eastAsia="宋体" w:cs="宋体"/>
          <w:color w:val="auto"/>
          <w:sz w:val="20"/>
          <w:szCs w:val="20"/>
          <w:highlight w:val="none"/>
        </w:rPr>
        <w:t>通知书，经甲、乙双方协商，达成如下合同条款。</w:t>
      </w:r>
    </w:p>
    <w:p w14:paraId="11824156">
      <w:pPr>
        <w:pageBreakBefore w:val="0"/>
        <w:kinsoku/>
        <w:wordWrap/>
        <w:overflowPunct/>
        <w:topLinePunct w:val="0"/>
        <w:bidi w:val="0"/>
        <w:spacing w:line="360" w:lineRule="auto"/>
        <w:ind w:firstLine="402" w:firstLineChars="200"/>
        <w:textAlignment w:val="auto"/>
        <w:rPr>
          <w:rFonts w:hint="eastAsia" w:ascii="宋体" w:hAnsi="宋体" w:eastAsia="宋体" w:cs="宋体"/>
          <w:b/>
          <w:bCs w:val="0"/>
          <w:color w:val="auto"/>
          <w:sz w:val="20"/>
          <w:szCs w:val="20"/>
          <w:highlight w:val="none"/>
        </w:rPr>
      </w:pPr>
      <w:r>
        <w:rPr>
          <w:rFonts w:hint="eastAsia" w:ascii="宋体" w:hAnsi="宋体" w:eastAsia="宋体" w:cs="宋体"/>
          <w:b/>
          <w:bCs w:val="0"/>
          <w:color w:val="auto"/>
          <w:sz w:val="20"/>
          <w:szCs w:val="20"/>
          <w:highlight w:val="none"/>
        </w:rPr>
        <w:t>一、服务内容及</w:t>
      </w:r>
      <w:r>
        <w:rPr>
          <w:rFonts w:hint="eastAsia" w:ascii="宋体" w:hAnsi="宋体" w:eastAsia="宋体" w:cs="宋体"/>
          <w:b/>
          <w:bCs w:val="0"/>
          <w:color w:val="auto"/>
          <w:sz w:val="20"/>
          <w:szCs w:val="20"/>
          <w:highlight w:val="none"/>
          <w:lang w:val="en-US" w:eastAsia="zh-CN"/>
        </w:rPr>
        <w:t>服务</w:t>
      </w:r>
      <w:r>
        <w:rPr>
          <w:rFonts w:hint="eastAsia" w:ascii="宋体" w:hAnsi="宋体" w:eastAsia="宋体" w:cs="宋体"/>
          <w:b/>
          <w:bCs w:val="0"/>
          <w:color w:val="auto"/>
          <w:sz w:val="20"/>
          <w:szCs w:val="20"/>
          <w:highlight w:val="none"/>
        </w:rPr>
        <w:t>期限</w:t>
      </w:r>
    </w:p>
    <w:p w14:paraId="3B3C1EC7">
      <w:pPr>
        <w:pageBreakBefore w:val="0"/>
        <w:kinsoku/>
        <w:wordWrap/>
        <w:overflowPunct/>
        <w:topLinePunct w:val="0"/>
        <w:bidi w:val="0"/>
        <w:adjustRightInd w:val="0"/>
        <w:snapToGrid w:val="0"/>
        <w:spacing w:line="360" w:lineRule="auto"/>
        <w:ind w:firstLine="400" w:firstLineChars="200"/>
        <w:textAlignment w:val="auto"/>
        <w:rPr>
          <w:rFonts w:hint="default"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rPr>
        <w:t>（一）</w:t>
      </w:r>
      <w:r>
        <w:rPr>
          <w:rFonts w:hint="eastAsia" w:ascii="宋体" w:hAnsi="宋体" w:eastAsia="宋体" w:cs="宋体"/>
          <w:color w:val="auto"/>
          <w:sz w:val="20"/>
          <w:szCs w:val="20"/>
          <w:highlight w:val="none"/>
          <w:lang w:val="en-US" w:eastAsia="zh-CN"/>
        </w:rPr>
        <w:t>服务内容</w:t>
      </w:r>
    </w:p>
    <w:p w14:paraId="5091F592">
      <w:pPr>
        <w:pageBreakBefore w:val="0"/>
        <w:kinsoku/>
        <w:wordWrap/>
        <w:overflowPunct/>
        <w:topLinePunct w:val="0"/>
        <w:bidi w:val="0"/>
        <w:adjustRightInd w:val="0"/>
        <w:snapToGrid w:val="0"/>
        <w:spacing w:line="360" w:lineRule="auto"/>
        <w:ind w:firstLine="400" w:firstLineChars="200"/>
        <w:textAlignment w:val="auto"/>
        <w:rPr>
          <w:rFonts w:hint="default"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rPr>
        <w:t>工作区域</w:t>
      </w:r>
      <w:r>
        <w:rPr>
          <w:rFonts w:hint="eastAsia" w:ascii="宋体" w:hAnsi="宋体" w:eastAsia="宋体" w:cs="宋体"/>
          <w:color w:val="auto"/>
          <w:sz w:val="20"/>
          <w:szCs w:val="20"/>
          <w:highlight w:val="none"/>
          <w:lang w:eastAsia="zh-CN"/>
        </w:rPr>
        <w:t>：</w:t>
      </w:r>
      <w:r>
        <w:rPr>
          <w:rFonts w:hint="eastAsia" w:ascii="宋体" w:hAnsi="宋体" w:cs="宋体"/>
          <w:color w:val="auto"/>
          <w:sz w:val="20"/>
          <w:szCs w:val="20"/>
          <w:highlight w:val="none"/>
          <w:lang w:val="en-US" w:eastAsia="zh-CN"/>
        </w:rPr>
        <w:t>临潼区</w:t>
      </w:r>
    </w:p>
    <w:p w14:paraId="2371F163">
      <w:pPr>
        <w:pageBreakBefore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rPr>
        <w:t>监测范围</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lang w:val="en-US" w:eastAsia="zh-CN"/>
        </w:rPr>
        <w:t>监测范围分为全域范围和城区监测范围两类。全域范围指城市行政区域为监测范围，即是以最新年度国土变更调查采用的行政辖区界线作为界线。城区监测范围指按照《城区范围确定规程》（以下简称《规程》）划定的城区范围和最新年度国土变更调查确定的城市（201及201A）范围的并集。</w:t>
      </w:r>
    </w:p>
    <w:p w14:paraId="2B4C236A">
      <w:pPr>
        <w:pageBreakBefore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（二）服务期限</w:t>
      </w:r>
    </w:p>
    <w:p w14:paraId="433C92E7">
      <w:pPr>
        <w:pageBreakBefore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eastAsia="宋体" w:cs="宋体"/>
          <w:b w:val="0"/>
          <w:bCs/>
          <w:color w:val="auto"/>
          <w:sz w:val="20"/>
          <w:szCs w:val="20"/>
          <w:highlight w:val="none"/>
          <w:lang w:val="zh-CN"/>
        </w:rPr>
        <w:t>服务期限：</w:t>
      </w:r>
      <w:r>
        <w:rPr>
          <w:rFonts w:hint="eastAsia" w:ascii="宋体" w:hAnsi="宋体" w:eastAsia="宋体" w:cs="宋体"/>
          <w:b w:val="0"/>
          <w:bCs/>
          <w:color w:val="auto"/>
          <w:sz w:val="20"/>
          <w:szCs w:val="20"/>
          <w:highlight w:val="none"/>
          <w:lang w:val="zh-CN" w:eastAsia="zh-Hans"/>
        </w:rPr>
        <w:t>合同签订之日起至成果通过国省市级核查</w:t>
      </w:r>
      <w:r>
        <w:rPr>
          <w:rFonts w:hint="eastAsia" w:ascii="宋体" w:hAnsi="宋体" w:eastAsia="宋体" w:cs="宋体"/>
          <w:color w:val="auto"/>
          <w:sz w:val="20"/>
          <w:szCs w:val="20"/>
          <w:highlight w:val="none"/>
          <w:lang w:val="zh-CN"/>
        </w:rPr>
        <w:t>。</w:t>
      </w:r>
    </w:p>
    <w:p w14:paraId="36CC48D1">
      <w:pPr>
        <w:pStyle w:val="2"/>
        <w:pageBreakBefore w:val="0"/>
        <w:numPr>
          <w:ilvl w:val="0"/>
          <w:numId w:val="0"/>
        </w:numPr>
        <w:kinsoku/>
        <w:wordWrap/>
        <w:overflowPunct/>
        <w:topLinePunct w:val="0"/>
        <w:autoSpaceDE/>
        <w:autoSpaceDN/>
        <w:bidi w:val="0"/>
        <w:adjustRightInd w:val="0"/>
        <w:snapToGrid w:val="0"/>
        <w:spacing w:before="0" w:after="0" w:afterLines="0" w:line="360" w:lineRule="auto"/>
        <w:ind w:left="0" w:leftChars="0" w:firstLine="402" w:firstLineChars="200"/>
        <w:textAlignment w:val="auto"/>
        <w:rPr>
          <w:rFonts w:hint="eastAsia" w:ascii="宋体" w:hAnsi="宋体" w:eastAsia="宋体" w:cs="宋体"/>
          <w:b/>
          <w:bCs w:val="0"/>
          <w:color w:val="auto"/>
          <w:kern w:val="2"/>
          <w:sz w:val="20"/>
          <w:szCs w:val="20"/>
          <w:highlight w:val="none"/>
          <w:lang w:val="en-US" w:eastAsia="zh-CN" w:bidi="ar-SA"/>
        </w:rPr>
      </w:pPr>
      <w:r>
        <w:rPr>
          <w:rFonts w:hint="eastAsia" w:ascii="宋体" w:hAnsi="宋体" w:eastAsia="宋体" w:cs="宋体"/>
          <w:b/>
          <w:bCs w:val="0"/>
          <w:color w:val="auto"/>
          <w:kern w:val="2"/>
          <w:sz w:val="20"/>
          <w:szCs w:val="20"/>
          <w:highlight w:val="none"/>
          <w:lang w:val="en-US" w:eastAsia="zh-CN" w:bidi="ar-SA"/>
        </w:rPr>
        <w:t>二、服务</w:t>
      </w:r>
      <w:r>
        <w:rPr>
          <w:rFonts w:hint="eastAsia" w:ascii="宋体" w:hAnsi="宋体" w:cs="宋体"/>
          <w:b/>
          <w:bCs w:val="0"/>
          <w:color w:val="auto"/>
          <w:kern w:val="2"/>
          <w:sz w:val="20"/>
          <w:szCs w:val="20"/>
          <w:highlight w:val="none"/>
          <w:lang w:val="en-US" w:eastAsia="zh-CN" w:bidi="ar-SA"/>
        </w:rPr>
        <w:t>要求</w:t>
      </w:r>
    </w:p>
    <w:p w14:paraId="408741B3">
      <w:pPr>
        <w:pageBreakBefore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lang w:eastAsia="zh-CN"/>
        </w:rPr>
        <w:t>1</w:t>
      </w:r>
      <w:r>
        <w:rPr>
          <w:rFonts w:hint="eastAsia" w:ascii="宋体" w:hAnsi="宋体" w:cs="宋体"/>
          <w:color w:val="auto"/>
          <w:sz w:val="20"/>
          <w:szCs w:val="20"/>
          <w:highlight w:val="none"/>
          <w:lang w:eastAsia="zh-CN"/>
        </w:rPr>
        <w:t>.</w:t>
      </w:r>
      <w:r>
        <w:rPr>
          <w:rFonts w:hint="eastAsia" w:ascii="宋体" w:hAnsi="宋体" w:eastAsia="宋体" w:cs="宋体"/>
          <w:color w:val="auto"/>
          <w:sz w:val="20"/>
          <w:szCs w:val="20"/>
          <w:highlight w:val="none"/>
          <w:lang w:eastAsia="zh-CN"/>
        </w:rPr>
        <w:t>资料收集与整理</w:t>
      </w:r>
    </w:p>
    <w:p w14:paraId="3DFD9E60">
      <w:pPr>
        <w:pageBreakBefore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接收下发的“城市国土空间监测”基础资料，包括最新年度国土变更调查成果、部统一提供的最新卫星遥感影像数据、2020年、2021年地理国情监测成果数据、POI数据以及市级最新亚米级影像等其他相关资料。</w:t>
      </w:r>
    </w:p>
    <w:p w14:paraId="15102EDF">
      <w:pPr>
        <w:pageBreakBefore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在市级下发相关资料基础上，充分收集与利用地籍调查和不动产登记、地理国情监测、城市大比例尺基础测绘、数字城市、智慧城市等工作成果，补充收集涉及住建、文旅、教育、卫健、体育、应急管理、城市管理和综合执法、水务、交通运输、民政等行业现势性良好的专题资料，POI数据为确定各类监测对象空间位置、范围和属性做参考和指引。</w:t>
      </w:r>
    </w:p>
    <w:p w14:paraId="7ACEEF21">
      <w:pPr>
        <w:pageBreakBefore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lang w:eastAsia="zh-CN"/>
        </w:rPr>
        <w:t>2</w:t>
      </w:r>
      <w:r>
        <w:rPr>
          <w:rFonts w:hint="eastAsia" w:ascii="宋体" w:hAnsi="宋体" w:cs="宋体"/>
          <w:color w:val="auto"/>
          <w:sz w:val="20"/>
          <w:szCs w:val="20"/>
          <w:highlight w:val="none"/>
          <w:lang w:eastAsia="zh-CN"/>
        </w:rPr>
        <w:t>.</w:t>
      </w:r>
      <w:r>
        <w:rPr>
          <w:rFonts w:hint="eastAsia" w:ascii="宋体" w:hAnsi="宋体" w:eastAsia="宋体" w:cs="宋体"/>
          <w:color w:val="auto"/>
          <w:sz w:val="20"/>
          <w:szCs w:val="20"/>
          <w:highlight w:val="none"/>
          <w:lang w:eastAsia="zh-CN"/>
        </w:rPr>
        <w:t>空间信息细化与补充</w:t>
      </w:r>
    </w:p>
    <w:p w14:paraId="01F08D82">
      <w:pPr>
        <w:pageBreakBefore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en-US" w:eastAsia="zh-CN"/>
        </w:rPr>
      </w:pPr>
      <w:bookmarkStart w:id="0" w:name="_Toc25983"/>
      <w:r>
        <w:rPr>
          <w:rFonts w:hint="eastAsia" w:ascii="宋体" w:hAnsi="宋体" w:eastAsia="宋体" w:cs="宋体"/>
          <w:color w:val="auto"/>
          <w:sz w:val="20"/>
          <w:szCs w:val="20"/>
          <w:highlight w:val="none"/>
          <w:lang w:val="en-US" w:eastAsia="zh-CN"/>
        </w:rPr>
        <w:t>以最新年度国土变更调查成果为底图，以收集的资料为指引，套合最新遥感影像，通过影像比对、内业解译、外业调查、空间数据综合分析等多种手段，对涉及图斑的三级类确定监测对象的位置、范围和属性。</w:t>
      </w:r>
      <w:bookmarkEnd w:id="0"/>
    </w:p>
    <w:p w14:paraId="2535F5E1">
      <w:pPr>
        <w:pageBreakBefore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同时，在城区监测范围内，按单体形式采集地上建筑物，并补充标注高度、占地面积、建筑总面积，城镇住宅还需标注套（间）数。</w:t>
      </w:r>
    </w:p>
    <w:p w14:paraId="6D393686">
      <w:pPr>
        <w:pageBreakBefore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lang w:eastAsia="zh-CN"/>
        </w:rPr>
        <w:t>3</w:t>
      </w:r>
      <w:r>
        <w:rPr>
          <w:rFonts w:hint="eastAsia" w:ascii="宋体" w:hAnsi="宋体" w:cs="宋体"/>
          <w:color w:val="auto"/>
          <w:sz w:val="20"/>
          <w:szCs w:val="20"/>
          <w:highlight w:val="none"/>
          <w:lang w:eastAsia="zh-CN"/>
        </w:rPr>
        <w:t>.</w:t>
      </w:r>
      <w:r>
        <w:rPr>
          <w:rFonts w:hint="eastAsia" w:ascii="宋体" w:hAnsi="宋体" w:eastAsia="宋体" w:cs="宋体"/>
          <w:color w:val="auto"/>
          <w:sz w:val="20"/>
          <w:szCs w:val="20"/>
          <w:highlight w:val="none"/>
          <w:lang w:eastAsia="zh-CN"/>
        </w:rPr>
        <w:t>相关要素更新</w:t>
      </w:r>
    </w:p>
    <w:p w14:paraId="7FC0F093">
      <w:pPr>
        <w:pageBreakBefore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（1）水网数据监测更新。结合最新监测影像及收集的各类资料，对监测范围内水网数据成果进行更新。内容包括：河流、水渠、湖泊、水库、坑塘等。</w:t>
      </w:r>
    </w:p>
    <w:p w14:paraId="399CA16C">
      <w:pPr>
        <w:pageBreakBefore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（2）路网数据监测更新。结合最新监测影像及收集的各类资料，对监测范围内路网数据成果进行更新。内容包括：铁路、公路、城市道路、乡村道路、匝道等。</w:t>
      </w:r>
    </w:p>
    <w:p w14:paraId="073CD417">
      <w:pPr>
        <w:pageBreakBefore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lang w:eastAsia="zh-CN"/>
        </w:rPr>
        <w:t>4</w:t>
      </w:r>
      <w:r>
        <w:rPr>
          <w:rFonts w:hint="eastAsia" w:ascii="宋体" w:hAnsi="宋体" w:cs="宋体"/>
          <w:color w:val="auto"/>
          <w:sz w:val="20"/>
          <w:szCs w:val="20"/>
          <w:highlight w:val="none"/>
          <w:lang w:eastAsia="zh-CN"/>
        </w:rPr>
        <w:t>.</w:t>
      </w:r>
      <w:r>
        <w:rPr>
          <w:rFonts w:hint="eastAsia" w:ascii="宋体" w:hAnsi="宋体" w:eastAsia="宋体" w:cs="宋体"/>
          <w:color w:val="auto"/>
          <w:sz w:val="20"/>
          <w:szCs w:val="20"/>
          <w:highlight w:val="none"/>
          <w:lang w:eastAsia="zh-CN"/>
        </w:rPr>
        <w:t>外业调查</w:t>
      </w:r>
    </w:p>
    <w:p w14:paraId="696C0956">
      <w:pPr>
        <w:pageBreakBefore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对内业难以准确判定监测内容的图斑，也无法通过影像特征、专题资料确定属性信息的监测要素，通过统一举证平台开展外业调查。</w:t>
      </w:r>
    </w:p>
    <w:p w14:paraId="4A4E665D">
      <w:pPr>
        <w:pageBreakBefore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lang w:eastAsia="zh-CN"/>
        </w:rPr>
        <w:t>5</w:t>
      </w:r>
      <w:r>
        <w:rPr>
          <w:rFonts w:hint="eastAsia" w:ascii="宋体" w:hAnsi="宋体" w:cs="宋体"/>
          <w:color w:val="auto"/>
          <w:sz w:val="20"/>
          <w:szCs w:val="20"/>
          <w:highlight w:val="none"/>
          <w:lang w:eastAsia="zh-CN"/>
        </w:rPr>
        <w:t>.</w:t>
      </w:r>
      <w:r>
        <w:rPr>
          <w:rFonts w:hint="eastAsia" w:ascii="宋体" w:hAnsi="宋体" w:eastAsia="宋体" w:cs="宋体"/>
          <w:color w:val="auto"/>
          <w:sz w:val="20"/>
          <w:szCs w:val="20"/>
          <w:highlight w:val="none"/>
          <w:lang w:eastAsia="zh-CN"/>
        </w:rPr>
        <w:t>数据接边</w:t>
      </w:r>
    </w:p>
    <w:p w14:paraId="446372B1">
      <w:pPr>
        <w:pageBreakBefore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与相邻区（县）、市开展数据接边处理，包括图形和属性接边。</w:t>
      </w:r>
    </w:p>
    <w:p w14:paraId="095BD4D0">
      <w:pPr>
        <w:pageBreakBefore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lang w:eastAsia="zh-CN"/>
        </w:rPr>
        <w:t>6</w:t>
      </w:r>
      <w:r>
        <w:rPr>
          <w:rFonts w:hint="eastAsia" w:ascii="宋体" w:hAnsi="宋体" w:cs="宋体"/>
          <w:color w:val="auto"/>
          <w:sz w:val="20"/>
          <w:szCs w:val="20"/>
          <w:highlight w:val="none"/>
          <w:lang w:eastAsia="zh-CN"/>
        </w:rPr>
        <w:t>.</w:t>
      </w:r>
      <w:r>
        <w:rPr>
          <w:rFonts w:hint="eastAsia" w:ascii="宋体" w:hAnsi="宋体" w:eastAsia="宋体" w:cs="宋体"/>
          <w:color w:val="auto"/>
          <w:sz w:val="20"/>
          <w:szCs w:val="20"/>
          <w:highlight w:val="none"/>
          <w:lang w:eastAsia="zh-CN"/>
        </w:rPr>
        <w:t>数据库建设</w:t>
      </w:r>
    </w:p>
    <w:p w14:paraId="6468EA5A">
      <w:pPr>
        <w:pageBreakBefore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监测数据成果应按部有关要求整理和组织，并完成数据成果汇交。</w:t>
      </w:r>
    </w:p>
    <w:p w14:paraId="4E735CA3">
      <w:pPr>
        <w:pageBreakBefore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en-US" w:eastAsia="zh-Hans"/>
        </w:rPr>
      </w:pPr>
      <w:r>
        <w:rPr>
          <w:rFonts w:hint="eastAsia" w:ascii="宋体" w:hAnsi="宋体" w:eastAsia="宋体" w:cs="宋体"/>
          <w:color w:val="auto"/>
          <w:sz w:val="20"/>
          <w:szCs w:val="20"/>
          <w:highlight w:val="none"/>
          <w:lang w:val="en-US" w:eastAsia="zh-Hans"/>
        </w:rPr>
        <w:t>7、成果自检</w:t>
      </w:r>
    </w:p>
    <w:p w14:paraId="2651DDEE">
      <w:pPr>
        <w:pageBreakBefore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en-US" w:eastAsia="zh-Hans"/>
        </w:rPr>
      </w:pPr>
      <w:r>
        <w:rPr>
          <w:rFonts w:hint="eastAsia" w:ascii="宋体" w:hAnsi="宋体" w:eastAsia="宋体" w:cs="宋体"/>
          <w:color w:val="auto"/>
          <w:sz w:val="20"/>
          <w:szCs w:val="20"/>
          <w:highlight w:val="none"/>
          <w:lang w:val="en-US" w:eastAsia="zh-Hans"/>
        </w:rPr>
        <w:t>对本区域内监测成果进行100%全面自检，确保成果的完整性、规范性、真实性和准确性。监测成果经自检确认通过、行政区数据汇总后报送市局。</w:t>
      </w:r>
    </w:p>
    <w:p w14:paraId="5DF9672C">
      <w:pPr>
        <w:pageBreakBefore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en-US" w:eastAsia="zh-Hans"/>
        </w:rPr>
      </w:pPr>
      <w:r>
        <w:rPr>
          <w:rFonts w:hint="eastAsia" w:ascii="宋体" w:hAnsi="宋体" w:eastAsia="宋体" w:cs="宋体"/>
          <w:color w:val="auto"/>
          <w:sz w:val="20"/>
          <w:szCs w:val="20"/>
          <w:highlight w:val="none"/>
          <w:lang w:val="en-US" w:eastAsia="zh-Hans"/>
        </w:rPr>
        <w:t>8、配合完成市级、省级、部级核查工作</w:t>
      </w:r>
    </w:p>
    <w:p w14:paraId="46A22CBB">
      <w:pPr>
        <w:pageBreakBefore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en-US" w:eastAsia="zh-Hans"/>
        </w:rPr>
      </w:pPr>
      <w:r>
        <w:rPr>
          <w:rFonts w:hint="eastAsia" w:ascii="宋体" w:hAnsi="宋体" w:eastAsia="宋体" w:cs="宋体"/>
          <w:color w:val="auto"/>
          <w:sz w:val="20"/>
          <w:szCs w:val="20"/>
          <w:highlight w:val="none"/>
          <w:lang w:val="en-US" w:eastAsia="zh-Hans"/>
        </w:rPr>
        <w:t>配合完成部级、省级、市级内业核查以及数据库质量检查工作，并对部、省、市核查中发现的问题按要求进行整改。整改成果经过市级检查确认后报送省厅。</w:t>
      </w:r>
    </w:p>
    <w:p w14:paraId="4D3DCFB3">
      <w:pPr>
        <w:pageBreakBefore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en-US" w:eastAsia="zh-Hans"/>
        </w:rPr>
      </w:pPr>
      <w:r>
        <w:rPr>
          <w:rFonts w:hint="eastAsia" w:ascii="宋体" w:hAnsi="宋体" w:eastAsia="宋体" w:cs="宋体"/>
          <w:color w:val="auto"/>
          <w:sz w:val="20"/>
          <w:szCs w:val="20"/>
          <w:highlight w:val="none"/>
          <w:lang w:val="en-US" w:eastAsia="zh-Hans"/>
        </w:rPr>
        <w:t>9、监测成果分析</w:t>
      </w:r>
    </w:p>
    <w:p w14:paraId="154D2EA6">
      <w:pPr>
        <w:pageBreakBefore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en-US" w:eastAsia="zh-Hans"/>
        </w:rPr>
      </w:pPr>
      <w:r>
        <w:rPr>
          <w:rFonts w:hint="eastAsia" w:ascii="宋体" w:hAnsi="宋体" w:eastAsia="宋体" w:cs="宋体"/>
          <w:color w:val="auto"/>
          <w:sz w:val="20"/>
          <w:szCs w:val="20"/>
          <w:highlight w:val="none"/>
          <w:lang w:val="en-US" w:eastAsia="zh-Hans"/>
        </w:rPr>
        <w:t>以城市国土空间监测成果数据库为基础，形成报表、报告等统计分析成果，满足自然资源管理和国土空间治理等工作需要，并对本次工作进行总结。</w:t>
      </w:r>
    </w:p>
    <w:p w14:paraId="6BB60A2B">
      <w:pPr>
        <w:pageBreakBefore w:val="0"/>
        <w:kinsoku/>
        <w:wordWrap/>
        <w:overflowPunct/>
        <w:topLinePunct w:val="0"/>
        <w:bidi w:val="0"/>
        <w:adjustRightInd w:val="0"/>
        <w:snapToGrid w:val="0"/>
        <w:spacing w:line="360" w:lineRule="auto"/>
        <w:ind w:firstLine="402" w:firstLineChars="200"/>
        <w:textAlignment w:val="auto"/>
        <w:rPr>
          <w:rFonts w:hint="eastAsia" w:ascii="宋体" w:hAnsi="宋体" w:eastAsia="宋体" w:cs="宋体"/>
          <w:b/>
          <w:bCs/>
          <w:color w:val="auto"/>
          <w:sz w:val="20"/>
          <w:szCs w:val="20"/>
          <w:highlight w:val="none"/>
          <w:lang w:val="zh-CN"/>
        </w:rPr>
      </w:pPr>
      <w:r>
        <w:rPr>
          <w:rFonts w:hint="eastAsia" w:ascii="宋体" w:hAnsi="宋体" w:eastAsia="宋体" w:cs="宋体"/>
          <w:b/>
          <w:bCs/>
          <w:color w:val="auto"/>
          <w:sz w:val="20"/>
          <w:szCs w:val="20"/>
          <w:highlight w:val="none"/>
          <w:lang w:val="zh-CN"/>
        </w:rPr>
        <w:t>三、</w:t>
      </w:r>
      <w:r>
        <w:rPr>
          <w:rFonts w:hint="eastAsia" w:ascii="宋体" w:hAnsi="宋体" w:eastAsia="宋体" w:cs="宋体"/>
          <w:b/>
          <w:bCs/>
          <w:color w:val="auto"/>
          <w:sz w:val="20"/>
          <w:szCs w:val="20"/>
          <w:highlight w:val="none"/>
        </w:rPr>
        <w:t>合同价款</w:t>
      </w:r>
    </w:p>
    <w:p w14:paraId="417DB094">
      <w:pPr>
        <w:pageBreakBefore w:val="0"/>
        <w:kinsoku/>
        <w:wordWrap/>
        <w:overflowPunct/>
        <w:topLinePunct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w:t>
      </w:r>
      <w:r>
        <w:rPr>
          <w:rFonts w:hint="eastAsia" w:ascii="宋体" w:hAnsi="宋体" w:cs="宋体"/>
          <w:color w:val="auto"/>
          <w:sz w:val="20"/>
          <w:szCs w:val="20"/>
          <w:highlight w:val="none"/>
          <w:lang w:val="en-US" w:eastAsia="zh-CN"/>
        </w:rPr>
        <w:t>.</w:t>
      </w:r>
      <w:r>
        <w:rPr>
          <w:rFonts w:hint="eastAsia" w:ascii="宋体" w:hAnsi="宋体" w:eastAsia="宋体" w:cs="宋体"/>
          <w:color w:val="auto"/>
          <w:sz w:val="20"/>
          <w:szCs w:val="20"/>
          <w:highlight w:val="none"/>
        </w:rPr>
        <w:t>合同总价（含税）：</w:t>
      </w:r>
      <w:r>
        <w:rPr>
          <w:rFonts w:hint="eastAsia" w:ascii="宋体" w:hAnsi="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rPr>
        <w:t>元（大写：</w:t>
      </w:r>
      <w:r>
        <w:rPr>
          <w:rFonts w:hint="eastAsia" w:ascii="宋体" w:hAnsi="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rPr>
        <w:t>）。</w:t>
      </w:r>
    </w:p>
    <w:p w14:paraId="5F1FF9F9">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2</w:t>
      </w:r>
      <w:r>
        <w:rPr>
          <w:rFonts w:hint="eastAsia" w:ascii="宋体" w:hAnsi="宋体" w:cs="宋体"/>
          <w:color w:val="auto"/>
          <w:sz w:val="20"/>
          <w:szCs w:val="20"/>
          <w:highlight w:val="none"/>
          <w:lang w:val="en-US" w:eastAsia="zh-CN"/>
        </w:rPr>
        <w:t>.</w:t>
      </w:r>
      <w:r>
        <w:rPr>
          <w:rFonts w:hint="eastAsia" w:ascii="宋体" w:hAnsi="宋体" w:eastAsia="宋体" w:cs="宋体"/>
          <w:color w:val="auto"/>
          <w:sz w:val="20"/>
          <w:szCs w:val="20"/>
          <w:highlight w:val="none"/>
          <w:lang w:val="zh-CN"/>
        </w:rPr>
        <w:t>合同总价一次包死，不受市场价变化的影响。</w:t>
      </w:r>
    </w:p>
    <w:p w14:paraId="4ECA579E">
      <w:pPr>
        <w:pageBreakBefore w:val="0"/>
        <w:kinsoku/>
        <w:wordWrap/>
        <w:overflowPunct/>
        <w:topLinePunct w:val="0"/>
        <w:bidi w:val="0"/>
        <w:spacing w:line="360" w:lineRule="auto"/>
        <w:ind w:firstLine="402" w:firstLineChars="200"/>
        <w:textAlignment w:val="auto"/>
        <w:rPr>
          <w:rFonts w:hint="eastAsia" w:ascii="宋体" w:hAnsi="宋体" w:eastAsia="宋体" w:cs="宋体"/>
          <w:b/>
          <w:bCs w:val="0"/>
          <w:color w:val="auto"/>
          <w:sz w:val="20"/>
          <w:szCs w:val="20"/>
          <w:highlight w:val="none"/>
        </w:rPr>
      </w:pPr>
      <w:r>
        <w:rPr>
          <w:rFonts w:hint="eastAsia" w:ascii="宋体" w:hAnsi="宋体" w:eastAsia="宋体" w:cs="宋体"/>
          <w:b/>
          <w:bCs w:val="0"/>
          <w:color w:val="auto"/>
          <w:sz w:val="20"/>
          <w:szCs w:val="20"/>
          <w:highlight w:val="none"/>
          <w:lang w:val="en-US" w:eastAsia="zh-CN"/>
        </w:rPr>
        <w:t>四</w:t>
      </w:r>
      <w:r>
        <w:rPr>
          <w:rFonts w:hint="eastAsia" w:ascii="宋体" w:hAnsi="宋体" w:eastAsia="宋体" w:cs="宋体"/>
          <w:b/>
          <w:bCs w:val="0"/>
          <w:color w:val="auto"/>
          <w:sz w:val="20"/>
          <w:szCs w:val="20"/>
          <w:highlight w:val="none"/>
        </w:rPr>
        <w:t>、合同价款结算、支付</w:t>
      </w:r>
    </w:p>
    <w:p w14:paraId="412BA48D">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cs="宋体"/>
          <w:color w:val="auto"/>
          <w:sz w:val="20"/>
          <w:szCs w:val="20"/>
          <w:highlight w:val="none"/>
          <w:lang w:val="en-US" w:eastAsia="zh-CN"/>
        </w:rPr>
        <w:t>1.分三次付款，合同签订后一个月内支付合同总价款的30%，成果提交省级核查后支付合同总价款的40%，成果经国省市核查通过后支付合同总价款的30%。</w:t>
      </w:r>
    </w:p>
    <w:p w14:paraId="3E0B200E">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cs="宋体"/>
          <w:color w:val="auto"/>
          <w:sz w:val="20"/>
          <w:szCs w:val="20"/>
          <w:highlight w:val="none"/>
          <w:lang w:val="en-US" w:eastAsia="zh-CN"/>
        </w:rPr>
        <w:t>2</w:t>
      </w:r>
      <w:r>
        <w:rPr>
          <w:rFonts w:hint="eastAsia" w:ascii="宋体" w:hAnsi="宋体" w:cs="宋体"/>
          <w:color w:val="auto"/>
          <w:sz w:val="20"/>
          <w:szCs w:val="20"/>
          <w:highlight w:val="none"/>
          <w:lang w:val="zh-CN"/>
        </w:rPr>
        <w:t>.</w:t>
      </w:r>
      <w:r>
        <w:rPr>
          <w:rFonts w:hint="eastAsia" w:ascii="宋体" w:hAnsi="宋体" w:eastAsia="宋体" w:cs="宋体"/>
          <w:color w:val="auto"/>
          <w:sz w:val="20"/>
          <w:szCs w:val="20"/>
          <w:highlight w:val="none"/>
          <w:lang w:val="zh-CN"/>
        </w:rPr>
        <w:t>付款方式：银行转账。</w:t>
      </w:r>
      <w:r>
        <w:rPr>
          <w:rFonts w:hint="eastAsia" w:ascii="宋体" w:hAnsi="宋体" w:eastAsia="宋体" w:cs="宋体"/>
          <w:color w:val="auto"/>
          <w:sz w:val="20"/>
          <w:szCs w:val="20"/>
          <w:highlight w:val="none"/>
        </w:rPr>
        <w:t>乙方应当保证指定账户为唯一收款账户，确保该账户的稳定性与准确性，乙方变更收款账户信息的，应当提前10个工作日书面告知甲方。如因乙方提供账户信息不准确、不真实，或变动账户后不及时告知甲方，导致甲方付款错误或者失败的，由乙方承担一切损失赔偿责任。</w:t>
      </w:r>
    </w:p>
    <w:p w14:paraId="65460018">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cs="宋体"/>
          <w:color w:val="auto"/>
          <w:sz w:val="20"/>
          <w:szCs w:val="20"/>
          <w:highlight w:val="none"/>
          <w:lang w:val="en-US" w:eastAsia="zh-CN"/>
        </w:rPr>
        <w:t>3</w:t>
      </w:r>
      <w:r>
        <w:rPr>
          <w:rFonts w:hint="eastAsia" w:ascii="宋体" w:hAnsi="宋体" w:eastAsia="宋体" w:cs="宋体"/>
          <w:color w:val="auto"/>
          <w:sz w:val="20"/>
          <w:szCs w:val="20"/>
          <w:highlight w:val="none"/>
          <w:lang w:val="zh-CN"/>
        </w:rPr>
        <w:t>、结算方式：</w:t>
      </w:r>
      <w:r>
        <w:rPr>
          <w:rFonts w:hint="eastAsia" w:ascii="宋体" w:hAnsi="宋体" w:cs="宋体"/>
          <w:color w:val="auto"/>
          <w:sz w:val="20"/>
          <w:szCs w:val="20"/>
          <w:highlight w:val="none"/>
          <w:lang w:val="zh-CN"/>
        </w:rPr>
        <w:t>乙方开具发票，持</w:t>
      </w:r>
      <w:r>
        <w:rPr>
          <w:rFonts w:hint="eastAsia" w:ascii="宋体" w:hAnsi="宋体" w:cs="宋体"/>
          <w:color w:val="auto"/>
          <w:sz w:val="20"/>
          <w:szCs w:val="20"/>
          <w:highlight w:val="none"/>
          <w:lang w:val="en-US" w:eastAsia="zh-CN"/>
        </w:rPr>
        <w:t>成交</w:t>
      </w:r>
      <w:r>
        <w:rPr>
          <w:rFonts w:hint="eastAsia" w:ascii="宋体" w:hAnsi="宋体" w:cs="宋体"/>
          <w:color w:val="auto"/>
          <w:sz w:val="20"/>
          <w:szCs w:val="20"/>
          <w:highlight w:val="none"/>
          <w:lang w:val="zh-CN"/>
        </w:rPr>
        <w:t>通知书、服务合同、发票，与甲方结算进度费用</w:t>
      </w:r>
      <w:r>
        <w:rPr>
          <w:rFonts w:hint="eastAsia" w:ascii="宋体" w:hAnsi="宋体" w:eastAsia="宋体" w:cs="宋体"/>
          <w:color w:val="auto"/>
          <w:sz w:val="20"/>
          <w:szCs w:val="20"/>
          <w:highlight w:val="none"/>
          <w:lang w:val="zh-CN"/>
        </w:rPr>
        <w:t>。</w:t>
      </w:r>
    </w:p>
    <w:p w14:paraId="6889926A">
      <w:pPr>
        <w:pageBreakBefore w:val="0"/>
        <w:kinsoku/>
        <w:wordWrap/>
        <w:overflowPunct/>
        <w:topLinePunct w:val="0"/>
        <w:bidi w:val="0"/>
        <w:spacing w:line="360" w:lineRule="auto"/>
        <w:ind w:firstLine="402" w:firstLineChars="200"/>
        <w:textAlignment w:val="auto"/>
        <w:rPr>
          <w:rFonts w:hint="eastAsia" w:ascii="宋体" w:hAnsi="宋体" w:eastAsia="宋体" w:cs="宋体"/>
          <w:b/>
          <w:bCs w:val="0"/>
          <w:color w:val="auto"/>
          <w:sz w:val="20"/>
          <w:szCs w:val="20"/>
          <w:highlight w:val="none"/>
        </w:rPr>
      </w:pPr>
      <w:r>
        <w:rPr>
          <w:rFonts w:hint="eastAsia" w:ascii="宋体" w:hAnsi="宋体" w:eastAsia="宋体" w:cs="宋体"/>
          <w:b/>
          <w:bCs w:val="0"/>
          <w:color w:val="auto"/>
          <w:sz w:val="20"/>
          <w:szCs w:val="20"/>
          <w:highlight w:val="none"/>
          <w:lang w:val="en-US" w:eastAsia="zh-CN"/>
        </w:rPr>
        <w:t>五</w:t>
      </w:r>
      <w:r>
        <w:rPr>
          <w:rFonts w:hint="eastAsia" w:ascii="宋体" w:hAnsi="宋体" w:eastAsia="宋体" w:cs="宋体"/>
          <w:b/>
          <w:bCs w:val="0"/>
          <w:color w:val="auto"/>
          <w:sz w:val="20"/>
          <w:szCs w:val="20"/>
          <w:highlight w:val="none"/>
        </w:rPr>
        <w:t>、双方的权利和义务</w:t>
      </w:r>
    </w:p>
    <w:p w14:paraId="3CFFB248">
      <w:pPr>
        <w:pageBreakBefore w:val="0"/>
        <w:kinsoku/>
        <w:wordWrap/>
        <w:overflowPunct/>
        <w:topLinePunct w:val="0"/>
        <w:bidi w:val="0"/>
        <w:spacing w:line="360" w:lineRule="auto"/>
        <w:ind w:firstLine="402" w:firstLineChars="200"/>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（一）甲方的权利和义务</w:t>
      </w:r>
    </w:p>
    <w:p w14:paraId="4A3B61A5">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1</w:t>
      </w:r>
      <w:r>
        <w:rPr>
          <w:rFonts w:hint="eastAsia" w:ascii="宋体" w:hAnsi="宋体" w:cs="宋体"/>
          <w:color w:val="auto"/>
          <w:sz w:val="20"/>
          <w:szCs w:val="20"/>
          <w:highlight w:val="none"/>
          <w:lang w:val="en-US" w:eastAsia="zh-CN"/>
        </w:rPr>
        <w:t>.</w:t>
      </w:r>
      <w:r>
        <w:rPr>
          <w:rFonts w:hint="eastAsia" w:ascii="宋体" w:hAnsi="宋体" w:eastAsia="宋体" w:cs="宋体"/>
          <w:color w:val="auto"/>
          <w:sz w:val="20"/>
          <w:szCs w:val="20"/>
          <w:highlight w:val="none"/>
          <w:lang w:val="zh-CN"/>
        </w:rPr>
        <w:t>甲方有权对合同规定范围内乙方的服务行为进行监督和检查，拥有监管权，并可以根据实际情况对乙方提出意见或建议。</w:t>
      </w:r>
    </w:p>
    <w:p w14:paraId="1ED44D63">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zh-CN"/>
        </w:rPr>
        <w:t>2</w:t>
      </w:r>
      <w:r>
        <w:rPr>
          <w:rFonts w:hint="eastAsia" w:ascii="宋体" w:hAnsi="宋体" w:cs="宋体"/>
          <w:color w:val="auto"/>
          <w:sz w:val="20"/>
          <w:szCs w:val="20"/>
          <w:highlight w:val="none"/>
          <w:lang w:val="en-US" w:eastAsia="zh-CN"/>
        </w:rPr>
        <w:t>.</w:t>
      </w:r>
      <w:r>
        <w:rPr>
          <w:rFonts w:hint="eastAsia" w:ascii="宋体" w:hAnsi="宋体" w:eastAsia="宋体" w:cs="宋体"/>
          <w:color w:val="auto"/>
          <w:sz w:val="20"/>
          <w:szCs w:val="20"/>
          <w:highlight w:val="none"/>
          <w:lang w:val="zh-CN"/>
        </w:rPr>
        <w:t>甲方有权不定期核对乙方提供服务所配备的人员情况。</w:t>
      </w:r>
      <w:r>
        <w:rPr>
          <w:rFonts w:hint="eastAsia" w:ascii="宋体" w:hAnsi="宋体" w:eastAsia="宋体" w:cs="宋体"/>
          <w:color w:val="auto"/>
          <w:sz w:val="20"/>
          <w:szCs w:val="20"/>
          <w:highlight w:val="none"/>
        </w:rPr>
        <w:t>要求项目负责人具有测绘类中级以上(含中级)职称或注册测绘师证书；项目拟投入人员至少1</w:t>
      </w:r>
      <w:r>
        <w:rPr>
          <w:rFonts w:hint="eastAsia" w:ascii="宋体" w:hAnsi="宋体" w:cs="宋体"/>
          <w:color w:val="auto"/>
          <w:sz w:val="20"/>
          <w:szCs w:val="20"/>
          <w:highlight w:val="none"/>
          <w:lang w:val="en-US" w:eastAsia="zh-CN"/>
        </w:rPr>
        <w:t>0</w:t>
      </w:r>
      <w:r>
        <w:rPr>
          <w:rFonts w:hint="eastAsia" w:ascii="宋体" w:hAnsi="宋体" w:eastAsia="宋体" w:cs="宋体"/>
          <w:color w:val="auto"/>
          <w:sz w:val="20"/>
          <w:szCs w:val="20"/>
          <w:highlight w:val="none"/>
        </w:rPr>
        <w:t>人，能够全面掌握核查规则及要求。</w:t>
      </w:r>
    </w:p>
    <w:p w14:paraId="74678F79">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cs="宋体"/>
          <w:color w:val="auto"/>
          <w:sz w:val="20"/>
          <w:szCs w:val="20"/>
          <w:highlight w:val="none"/>
          <w:lang w:val="en-US" w:eastAsia="zh-CN"/>
        </w:rPr>
        <w:t>3.</w:t>
      </w:r>
      <w:r>
        <w:rPr>
          <w:rFonts w:hint="eastAsia" w:ascii="宋体" w:hAnsi="宋体" w:eastAsia="宋体" w:cs="宋体"/>
          <w:color w:val="auto"/>
          <w:sz w:val="20"/>
          <w:szCs w:val="20"/>
          <w:highlight w:val="none"/>
          <w:lang w:val="zh-CN"/>
        </w:rPr>
        <w:t>甲方认为不合理的部分有权下达整改通知书，并要求乙方限期整改，若乙方拒绝整改或者整改仍不符合甲方要求的，则视为违约，按照违约责任支付本合同总价款</w:t>
      </w:r>
      <w:r>
        <w:rPr>
          <w:rFonts w:hint="eastAsia" w:ascii="宋体" w:hAnsi="宋体" w:eastAsia="宋体" w:cs="宋体"/>
          <w:color w:val="auto"/>
          <w:sz w:val="20"/>
          <w:szCs w:val="20"/>
          <w:highlight w:val="none"/>
        </w:rPr>
        <w:t>20</w:t>
      </w:r>
      <w:r>
        <w:rPr>
          <w:rFonts w:hint="eastAsia" w:ascii="宋体" w:hAnsi="宋体" w:eastAsia="宋体" w:cs="宋体"/>
          <w:color w:val="auto"/>
          <w:sz w:val="20"/>
          <w:szCs w:val="20"/>
          <w:highlight w:val="none"/>
          <w:lang w:val="zh-CN"/>
        </w:rPr>
        <w:t>%的违约金，给甲方造成损失的还应承担赔偿责任。</w:t>
      </w:r>
    </w:p>
    <w:p w14:paraId="7AEBAA60">
      <w:pPr>
        <w:pageBreakBefore w:val="0"/>
        <w:kinsoku/>
        <w:wordWrap/>
        <w:overflowPunct/>
        <w:topLinePunct w:val="0"/>
        <w:bidi w:val="0"/>
        <w:spacing w:line="36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cs="宋体"/>
          <w:color w:val="auto"/>
          <w:sz w:val="20"/>
          <w:szCs w:val="20"/>
          <w:highlight w:val="none"/>
          <w:lang w:val="en-US" w:eastAsia="zh-CN"/>
        </w:rPr>
        <w:t>4.</w:t>
      </w:r>
      <w:r>
        <w:rPr>
          <w:rFonts w:hint="eastAsia" w:ascii="宋体" w:hAnsi="宋体" w:eastAsia="宋体" w:cs="宋体"/>
          <w:color w:val="auto"/>
          <w:sz w:val="20"/>
          <w:szCs w:val="20"/>
          <w:highlight w:val="none"/>
          <w:lang w:val="zh-CN"/>
        </w:rPr>
        <w:t>根据</w:t>
      </w:r>
      <w:r>
        <w:rPr>
          <w:rFonts w:hint="eastAsia" w:ascii="宋体" w:hAnsi="宋体" w:eastAsia="宋体" w:cs="宋体"/>
          <w:color w:val="auto"/>
          <w:sz w:val="20"/>
          <w:szCs w:val="20"/>
          <w:highlight w:val="none"/>
        </w:rPr>
        <w:t>本合同规定，向乙方支付应付服务费用。</w:t>
      </w:r>
    </w:p>
    <w:p w14:paraId="09EABD5D">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cs="宋体"/>
          <w:color w:val="auto"/>
          <w:sz w:val="20"/>
          <w:szCs w:val="20"/>
          <w:highlight w:val="none"/>
          <w:lang w:val="en-US" w:eastAsia="zh-CN"/>
        </w:rPr>
        <w:t>5.</w:t>
      </w:r>
      <w:r>
        <w:rPr>
          <w:rFonts w:hint="eastAsia" w:ascii="宋体" w:hAnsi="宋体" w:eastAsia="宋体" w:cs="宋体"/>
          <w:color w:val="auto"/>
          <w:sz w:val="20"/>
          <w:szCs w:val="20"/>
          <w:highlight w:val="none"/>
          <w:lang w:val="zh-CN"/>
        </w:rPr>
        <w:t>应当保证乙方的工作人员顺利进入现场工作，并对乙方进场人员的工作场地提供必要的帮助。</w:t>
      </w:r>
    </w:p>
    <w:p w14:paraId="3ECE335E">
      <w:pPr>
        <w:pageBreakBefore w:val="0"/>
        <w:kinsoku/>
        <w:wordWrap/>
        <w:overflowPunct/>
        <w:topLinePunct w:val="0"/>
        <w:bidi w:val="0"/>
        <w:spacing w:line="360" w:lineRule="auto"/>
        <w:ind w:firstLine="402" w:firstLineChars="200"/>
        <w:textAlignment w:val="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（二）乙方的权利和义务</w:t>
      </w:r>
    </w:p>
    <w:p w14:paraId="4D9F017D">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1</w:t>
      </w:r>
      <w:r>
        <w:rPr>
          <w:rFonts w:hint="eastAsia" w:ascii="宋体" w:hAnsi="宋体" w:cs="宋体"/>
          <w:color w:val="auto"/>
          <w:sz w:val="20"/>
          <w:szCs w:val="20"/>
          <w:highlight w:val="none"/>
          <w:lang w:val="en-US" w:eastAsia="zh-CN"/>
        </w:rPr>
        <w:t>.</w:t>
      </w:r>
      <w:r>
        <w:rPr>
          <w:rFonts w:hint="eastAsia" w:ascii="宋体" w:hAnsi="宋体" w:eastAsia="宋体" w:cs="宋体"/>
          <w:color w:val="auto"/>
          <w:sz w:val="20"/>
          <w:szCs w:val="20"/>
          <w:highlight w:val="none"/>
        </w:rPr>
        <w:t>乙方</w:t>
      </w:r>
      <w:r>
        <w:rPr>
          <w:rFonts w:hint="eastAsia" w:ascii="宋体" w:hAnsi="宋体" w:eastAsia="宋体" w:cs="宋体"/>
          <w:color w:val="auto"/>
          <w:sz w:val="20"/>
          <w:szCs w:val="20"/>
          <w:highlight w:val="none"/>
          <w:lang w:val="zh-CN"/>
        </w:rPr>
        <w:t>对本合同规定的委托服务范围内的项目具有服务义务</w:t>
      </w:r>
      <w:r>
        <w:rPr>
          <w:rFonts w:hint="eastAsia" w:ascii="宋体" w:hAnsi="宋体" w:eastAsia="宋体" w:cs="宋体"/>
          <w:color w:val="auto"/>
          <w:sz w:val="20"/>
          <w:szCs w:val="20"/>
          <w:highlight w:val="none"/>
        </w:rPr>
        <w:t>。乙方应按国家及行业相关技术规范、标准、规程及甲方提出的要求，开展项目工作和成果编制，按合同规定的进度要求提交质量合格的成果资料，并对其负责</w:t>
      </w:r>
      <w:r>
        <w:rPr>
          <w:rFonts w:hint="eastAsia" w:ascii="宋体" w:hAnsi="宋体" w:eastAsia="宋体" w:cs="宋体"/>
          <w:color w:val="auto"/>
          <w:sz w:val="20"/>
          <w:szCs w:val="20"/>
          <w:highlight w:val="none"/>
          <w:lang w:val="zh-CN"/>
        </w:rPr>
        <w:t>。</w:t>
      </w:r>
    </w:p>
    <w:p w14:paraId="75ABA96F">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2</w:t>
      </w:r>
      <w:r>
        <w:rPr>
          <w:rFonts w:hint="eastAsia" w:ascii="宋体" w:hAnsi="宋体" w:cs="宋体"/>
          <w:color w:val="auto"/>
          <w:sz w:val="20"/>
          <w:szCs w:val="20"/>
          <w:highlight w:val="none"/>
          <w:lang w:val="en-US" w:eastAsia="zh-CN"/>
        </w:rPr>
        <w:t>.</w:t>
      </w:r>
      <w:r>
        <w:rPr>
          <w:rFonts w:hint="eastAsia" w:ascii="宋体" w:hAnsi="宋体" w:eastAsia="宋体" w:cs="宋体"/>
          <w:color w:val="auto"/>
          <w:sz w:val="20"/>
          <w:szCs w:val="20"/>
          <w:highlight w:val="none"/>
          <w:lang w:val="zh-CN"/>
        </w:rPr>
        <w:t>乙方应严格按照国省市相关文件等技术路线开展工作，人员熟悉相关</w:t>
      </w:r>
      <w:r>
        <w:rPr>
          <w:rFonts w:hint="eastAsia" w:ascii="宋体" w:hAnsi="宋体" w:cs="宋体"/>
          <w:color w:val="auto"/>
          <w:sz w:val="20"/>
          <w:szCs w:val="20"/>
          <w:highlight w:val="none"/>
          <w:lang w:val="en-US" w:eastAsia="zh-CN"/>
        </w:rPr>
        <w:t>工作要求</w:t>
      </w:r>
      <w:r>
        <w:rPr>
          <w:rFonts w:hint="eastAsia" w:ascii="宋体" w:hAnsi="宋体" w:eastAsia="宋体" w:cs="宋体"/>
          <w:color w:val="auto"/>
          <w:sz w:val="20"/>
          <w:szCs w:val="20"/>
          <w:highlight w:val="none"/>
          <w:lang w:val="zh-CN"/>
        </w:rPr>
        <w:t>，提交的成果符合国省市要求。</w:t>
      </w:r>
    </w:p>
    <w:p w14:paraId="58E45E02">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3</w:t>
      </w:r>
      <w:r>
        <w:rPr>
          <w:rFonts w:hint="eastAsia" w:ascii="宋体" w:hAnsi="宋体" w:cs="宋体"/>
          <w:color w:val="auto"/>
          <w:sz w:val="20"/>
          <w:szCs w:val="20"/>
          <w:highlight w:val="none"/>
          <w:lang w:val="en-US" w:eastAsia="zh-CN"/>
        </w:rPr>
        <w:t>.</w:t>
      </w:r>
      <w:r>
        <w:rPr>
          <w:rFonts w:hint="eastAsia" w:ascii="宋体" w:hAnsi="宋体" w:eastAsia="宋体" w:cs="宋体"/>
          <w:color w:val="auto"/>
          <w:sz w:val="20"/>
          <w:szCs w:val="20"/>
          <w:highlight w:val="none"/>
        </w:rPr>
        <w:t>乙方应当对其所提交成果的完整性、真实性、准确性、正确性等负责。</w:t>
      </w:r>
      <w:r>
        <w:rPr>
          <w:rFonts w:hint="eastAsia" w:ascii="宋体" w:hAnsi="宋体" w:eastAsia="宋体" w:cs="宋体"/>
          <w:color w:val="auto"/>
          <w:sz w:val="20"/>
          <w:szCs w:val="20"/>
          <w:highlight w:val="none"/>
          <w:lang w:val="zh-CN"/>
        </w:rPr>
        <w:t>根据本合同的规定在按约如期履行义务后向甲方收取相关服务费用，并有权在本项目管理范围内管理及合理使用。</w:t>
      </w:r>
    </w:p>
    <w:p w14:paraId="23B235A4">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4</w:t>
      </w:r>
      <w:r>
        <w:rPr>
          <w:rFonts w:hint="eastAsia" w:ascii="宋体" w:hAnsi="宋体" w:cs="宋体"/>
          <w:color w:val="auto"/>
          <w:sz w:val="20"/>
          <w:szCs w:val="20"/>
          <w:highlight w:val="none"/>
          <w:lang w:val="en-US" w:eastAsia="zh-CN"/>
        </w:rPr>
        <w:t>.</w:t>
      </w:r>
      <w:r>
        <w:rPr>
          <w:rFonts w:hint="eastAsia" w:ascii="宋体" w:hAnsi="宋体" w:eastAsia="宋体" w:cs="宋体"/>
          <w:color w:val="auto"/>
          <w:sz w:val="20"/>
          <w:szCs w:val="20"/>
          <w:highlight w:val="none"/>
        </w:rPr>
        <w:t>乙方</w:t>
      </w:r>
      <w:r>
        <w:rPr>
          <w:rFonts w:hint="eastAsia" w:ascii="宋体" w:hAnsi="宋体" w:eastAsia="宋体" w:cs="宋体"/>
          <w:color w:val="auto"/>
          <w:sz w:val="20"/>
          <w:szCs w:val="20"/>
          <w:highlight w:val="none"/>
          <w:lang w:val="zh-CN"/>
        </w:rPr>
        <w:t>及时向甲方书面通告本项目执行进度及本项目服务范围内的重大事项，并配合甲方进行处理。</w:t>
      </w:r>
    </w:p>
    <w:p w14:paraId="04A615E1">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cs="宋体"/>
          <w:color w:val="auto"/>
          <w:sz w:val="20"/>
          <w:szCs w:val="20"/>
          <w:highlight w:val="none"/>
          <w:lang w:val="en-US" w:eastAsia="zh-CN"/>
        </w:rPr>
        <w:t>5.</w:t>
      </w:r>
      <w:r>
        <w:rPr>
          <w:rFonts w:hint="eastAsia" w:ascii="宋体" w:hAnsi="宋体" w:eastAsia="宋体" w:cs="宋体"/>
          <w:color w:val="auto"/>
          <w:sz w:val="20"/>
          <w:szCs w:val="20"/>
          <w:highlight w:val="none"/>
          <w:lang w:val="zh-CN"/>
        </w:rPr>
        <w:t>接受项目行业管理部门及政府有关部门的指导，接受甲方的监督及意见或建议，并及时更改。</w:t>
      </w:r>
    </w:p>
    <w:p w14:paraId="265C047C">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cs="宋体"/>
          <w:color w:val="auto"/>
          <w:sz w:val="20"/>
          <w:szCs w:val="20"/>
          <w:highlight w:val="none"/>
          <w:lang w:val="en-US" w:eastAsia="zh-CN"/>
        </w:rPr>
        <w:t>6.</w:t>
      </w:r>
      <w:r>
        <w:rPr>
          <w:rFonts w:hint="eastAsia" w:ascii="宋体" w:hAnsi="宋体" w:eastAsia="宋体" w:cs="宋体"/>
          <w:color w:val="auto"/>
          <w:sz w:val="20"/>
          <w:szCs w:val="20"/>
          <w:highlight w:val="none"/>
        </w:rPr>
        <w:t>乙方应当保证其履行本合同过程中，全部相关人员，尤其是户外工作相关人员的人身安全，乙方履行本合同过程中给自身及他人造成人身财产损害的，由乙方自行承担相关责任，与甲方无关，给甲方造成损失的，乙方还应当向甲方承担全部损失赔偿责任。</w:t>
      </w:r>
    </w:p>
    <w:p w14:paraId="1A324224">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cs="宋体"/>
          <w:color w:val="auto"/>
          <w:sz w:val="20"/>
          <w:szCs w:val="20"/>
          <w:highlight w:val="none"/>
          <w:lang w:val="en-US" w:eastAsia="zh-CN"/>
        </w:rPr>
        <w:t>7.</w:t>
      </w:r>
      <w:r>
        <w:rPr>
          <w:rFonts w:hint="eastAsia" w:ascii="宋体" w:hAnsi="宋体" w:eastAsia="宋体" w:cs="宋体"/>
          <w:color w:val="auto"/>
          <w:sz w:val="20"/>
          <w:szCs w:val="20"/>
          <w:highlight w:val="none"/>
          <w:lang w:val="zh-CN"/>
        </w:rPr>
        <w:t>国家法律、法规所规定由乙方承担的其他责任。</w:t>
      </w:r>
    </w:p>
    <w:p w14:paraId="75B04ABA">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cs="宋体"/>
          <w:color w:val="auto"/>
          <w:sz w:val="20"/>
          <w:szCs w:val="20"/>
          <w:highlight w:val="none"/>
          <w:lang w:val="en-US" w:eastAsia="zh-CN"/>
        </w:rPr>
        <w:t>8.</w:t>
      </w:r>
      <w:r>
        <w:rPr>
          <w:rFonts w:hint="eastAsia" w:ascii="宋体" w:hAnsi="宋体" w:eastAsia="宋体" w:cs="宋体"/>
          <w:color w:val="auto"/>
          <w:sz w:val="20"/>
          <w:szCs w:val="20"/>
          <w:highlight w:val="none"/>
          <w:lang w:val="zh-CN"/>
        </w:rPr>
        <w:t>配合甲方完成国省市对本项目的核查工作。</w:t>
      </w:r>
      <w:bookmarkStart w:id="1" w:name="_Toc525049834"/>
      <w:bookmarkStart w:id="2" w:name="_Toc500266840"/>
    </w:p>
    <w:p w14:paraId="36BCC33B">
      <w:pPr>
        <w:pageBreakBefore w:val="0"/>
        <w:kinsoku/>
        <w:wordWrap/>
        <w:overflowPunct/>
        <w:topLinePunct w:val="0"/>
        <w:bidi w:val="0"/>
        <w:spacing w:line="360" w:lineRule="auto"/>
        <w:ind w:firstLine="402" w:firstLineChars="200"/>
        <w:textAlignment w:val="auto"/>
        <w:rPr>
          <w:rFonts w:hint="eastAsia" w:ascii="宋体" w:hAnsi="宋体" w:eastAsia="宋体" w:cs="宋体"/>
          <w:b/>
          <w:bCs w:val="0"/>
          <w:color w:val="auto"/>
          <w:sz w:val="20"/>
          <w:szCs w:val="20"/>
          <w:highlight w:val="none"/>
        </w:rPr>
      </w:pPr>
      <w:r>
        <w:rPr>
          <w:rFonts w:hint="eastAsia" w:ascii="宋体" w:hAnsi="宋体" w:eastAsia="宋体" w:cs="宋体"/>
          <w:b/>
          <w:bCs w:val="0"/>
          <w:color w:val="auto"/>
          <w:sz w:val="20"/>
          <w:szCs w:val="20"/>
          <w:highlight w:val="none"/>
          <w:lang w:val="en-US" w:eastAsia="zh-CN"/>
        </w:rPr>
        <w:t>六、</w:t>
      </w:r>
      <w:r>
        <w:rPr>
          <w:rFonts w:hint="eastAsia" w:ascii="宋体" w:hAnsi="宋体" w:eastAsia="宋体" w:cs="宋体"/>
          <w:b/>
          <w:bCs w:val="0"/>
          <w:color w:val="auto"/>
          <w:sz w:val="20"/>
          <w:szCs w:val="20"/>
          <w:highlight w:val="none"/>
        </w:rPr>
        <w:t>验收</w:t>
      </w:r>
    </w:p>
    <w:p w14:paraId="4BE21F79">
      <w:pPr>
        <w:pageBreakBefore w:val="0"/>
        <w:kinsoku/>
        <w:wordWrap/>
        <w:overflowPunct/>
        <w:topLinePunct w:val="0"/>
        <w:bidi w:val="0"/>
        <w:spacing w:line="360" w:lineRule="auto"/>
        <w:ind w:firstLine="400" w:firstLineChars="200"/>
        <w:textAlignment w:val="auto"/>
        <w:rPr>
          <w:rFonts w:hint="eastAsia" w:ascii="宋体" w:hAnsi="宋体" w:eastAsia="宋体" w:cs="宋体"/>
          <w:bCs/>
          <w:color w:val="auto"/>
          <w:sz w:val="20"/>
          <w:szCs w:val="20"/>
          <w:highlight w:val="none"/>
          <w:lang w:eastAsia="zh-CN"/>
        </w:rPr>
      </w:pPr>
      <w:r>
        <w:rPr>
          <w:rFonts w:hint="eastAsia" w:ascii="宋体" w:hAnsi="宋体" w:eastAsia="宋体" w:cs="宋体"/>
          <w:bCs/>
          <w:color w:val="auto"/>
          <w:sz w:val="20"/>
          <w:szCs w:val="20"/>
          <w:highlight w:val="none"/>
          <w:lang w:val="en-US" w:eastAsia="zh-CN"/>
        </w:rPr>
        <w:t>1.</w:t>
      </w:r>
      <w:r>
        <w:rPr>
          <w:rFonts w:hint="eastAsia" w:ascii="宋体" w:hAnsi="宋体" w:eastAsia="宋体" w:cs="宋体"/>
          <w:bCs/>
          <w:color w:val="auto"/>
          <w:sz w:val="20"/>
          <w:szCs w:val="20"/>
          <w:highlight w:val="none"/>
        </w:rPr>
        <w:t>质量验收标准或规范</w:t>
      </w:r>
      <w:r>
        <w:rPr>
          <w:rFonts w:hint="eastAsia" w:ascii="宋体" w:hAnsi="宋体" w:eastAsia="宋体" w:cs="宋体"/>
          <w:bCs/>
          <w:color w:val="auto"/>
          <w:sz w:val="20"/>
          <w:szCs w:val="20"/>
          <w:highlight w:val="none"/>
          <w:lang w:eastAsia="zh-CN"/>
        </w:rPr>
        <w:t>：</w:t>
      </w:r>
      <w:r>
        <w:rPr>
          <w:rFonts w:hint="eastAsia" w:ascii="宋体" w:hAnsi="宋体" w:eastAsia="宋体" w:cs="宋体"/>
          <w:bCs/>
          <w:color w:val="auto"/>
          <w:sz w:val="20"/>
          <w:szCs w:val="20"/>
          <w:highlight w:val="none"/>
        </w:rPr>
        <w:t>符合国省市相关技术标准、规范要求，质量合格</w:t>
      </w:r>
      <w:r>
        <w:rPr>
          <w:rFonts w:hint="eastAsia" w:ascii="宋体" w:hAnsi="宋体" w:cs="宋体"/>
          <w:bCs/>
          <w:color w:val="auto"/>
          <w:sz w:val="20"/>
          <w:szCs w:val="20"/>
          <w:highlight w:val="none"/>
          <w:lang w:eastAsia="zh-CN"/>
        </w:rPr>
        <w:t>；</w:t>
      </w:r>
    </w:p>
    <w:p w14:paraId="42BD3FF9">
      <w:pPr>
        <w:pageBreakBefore w:val="0"/>
        <w:kinsoku/>
        <w:wordWrap/>
        <w:overflowPunct/>
        <w:topLinePunct w:val="0"/>
        <w:bidi w:val="0"/>
        <w:spacing w:line="360" w:lineRule="auto"/>
        <w:ind w:firstLine="400" w:firstLineChars="200"/>
        <w:textAlignment w:val="auto"/>
        <w:rPr>
          <w:rFonts w:hint="eastAsia" w:ascii="宋体" w:hAnsi="宋体" w:eastAsia="宋体" w:cs="宋体"/>
          <w:bCs/>
          <w:color w:val="auto"/>
          <w:sz w:val="20"/>
          <w:szCs w:val="20"/>
          <w:highlight w:val="none"/>
          <w:lang w:eastAsia="zh-CN"/>
        </w:rPr>
      </w:pPr>
      <w:r>
        <w:rPr>
          <w:rFonts w:hint="eastAsia" w:ascii="宋体" w:hAnsi="宋体" w:cs="宋体"/>
          <w:bCs/>
          <w:color w:val="auto"/>
          <w:sz w:val="20"/>
          <w:szCs w:val="20"/>
          <w:highlight w:val="none"/>
          <w:lang w:val="en-US" w:eastAsia="zh-CN"/>
        </w:rPr>
        <w:t>2</w:t>
      </w:r>
      <w:r>
        <w:rPr>
          <w:rFonts w:hint="eastAsia" w:ascii="宋体" w:hAnsi="宋体" w:eastAsia="宋体" w:cs="宋体"/>
          <w:bCs/>
          <w:color w:val="auto"/>
          <w:sz w:val="20"/>
          <w:szCs w:val="20"/>
          <w:highlight w:val="none"/>
        </w:rPr>
        <w:t>．验收：服务期间，乙方根据部、省、市工作安排按期向上级提交各类服务成果，并通过上级验收</w:t>
      </w:r>
      <w:r>
        <w:rPr>
          <w:rFonts w:hint="eastAsia" w:ascii="宋体" w:hAnsi="宋体" w:cs="宋体"/>
          <w:bCs/>
          <w:color w:val="auto"/>
          <w:sz w:val="20"/>
          <w:szCs w:val="20"/>
          <w:highlight w:val="none"/>
          <w:lang w:eastAsia="zh-CN"/>
        </w:rPr>
        <w:t>；</w:t>
      </w:r>
    </w:p>
    <w:p w14:paraId="0B66BC03">
      <w:pPr>
        <w:pageBreakBefore w:val="0"/>
        <w:kinsoku/>
        <w:wordWrap/>
        <w:overflowPunct/>
        <w:topLinePunct w:val="0"/>
        <w:bidi w:val="0"/>
        <w:spacing w:line="360" w:lineRule="auto"/>
        <w:ind w:firstLine="400" w:firstLineChars="200"/>
        <w:textAlignment w:val="auto"/>
        <w:rPr>
          <w:rFonts w:hint="eastAsia" w:ascii="宋体" w:hAnsi="宋体" w:eastAsia="宋体" w:cs="宋体"/>
          <w:bCs/>
          <w:color w:val="auto"/>
          <w:sz w:val="20"/>
          <w:szCs w:val="20"/>
          <w:highlight w:val="none"/>
          <w:lang w:eastAsia="zh-CN"/>
        </w:rPr>
      </w:pPr>
      <w:r>
        <w:rPr>
          <w:rFonts w:hint="eastAsia" w:ascii="宋体" w:hAnsi="宋体" w:cs="宋体"/>
          <w:bCs/>
          <w:color w:val="auto"/>
          <w:sz w:val="20"/>
          <w:szCs w:val="20"/>
          <w:highlight w:val="none"/>
          <w:lang w:val="en-US" w:eastAsia="zh-CN"/>
        </w:rPr>
        <w:t>3</w:t>
      </w:r>
      <w:r>
        <w:rPr>
          <w:rFonts w:hint="eastAsia" w:ascii="宋体" w:hAnsi="宋体" w:eastAsia="宋体" w:cs="宋体"/>
          <w:bCs/>
          <w:color w:val="auto"/>
          <w:sz w:val="20"/>
          <w:szCs w:val="20"/>
          <w:highlight w:val="none"/>
        </w:rPr>
        <w:t>．</w:t>
      </w:r>
      <w:r>
        <w:rPr>
          <w:rFonts w:hint="eastAsia" w:ascii="宋体" w:hAnsi="宋体" w:cs="宋体"/>
          <w:bCs/>
          <w:color w:val="auto"/>
          <w:sz w:val="20"/>
          <w:szCs w:val="20"/>
          <w:highlight w:val="none"/>
          <w:lang w:val="en-US" w:eastAsia="zh-CN"/>
        </w:rPr>
        <w:t>乙方</w:t>
      </w:r>
      <w:r>
        <w:rPr>
          <w:rFonts w:hint="eastAsia" w:ascii="宋体" w:hAnsi="宋体" w:eastAsia="宋体" w:cs="宋体"/>
          <w:bCs/>
          <w:color w:val="auto"/>
          <w:sz w:val="20"/>
          <w:szCs w:val="20"/>
          <w:highlight w:val="none"/>
        </w:rPr>
        <w:t>应向</w:t>
      </w:r>
      <w:r>
        <w:rPr>
          <w:rFonts w:hint="eastAsia" w:ascii="宋体" w:hAnsi="宋体" w:cs="宋体"/>
          <w:bCs/>
          <w:color w:val="auto"/>
          <w:sz w:val="20"/>
          <w:szCs w:val="20"/>
          <w:highlight w:val="none"/>
          <w:lang w:val="en-US" w:eastAsia="zh-CN"/>
        </w:rPr>
        <w:t>甲方</w:t>
      </w:r>
      <w:r>
        <w:rPr>
          <w:rFonts w:hint="eastAsia" w:ascii="宋体" w:hAnsi="宋体" w:eastAsia="宋体" w:cs="宋体"/>
          <w:bCs/>
          <w:color w:val="auto"/>
          <w:sz w:val="20"/>
          <w:szCs w:val="20"/>
          <w:highlight w:val="none"/>
        </w:rPr>
        <w:t>提交实施过程中的所有资料，以便甲方日后管理和维护</w:t>
      </w:r>
      <w:r>
        <w:rPr>
          <w:rFonts w:hint="eastAsia" w:ascii="宋体" w:hAnsi="宋体" w:cs="宋体"/>
          <w:bCs/>
          <w:color w:val="auto"/>
          <w:sz w:val="20"/>
          <w:szCs w:val="20"/>
          <w:highlight w:val="none"/>
          <w:lang w:eastAsia="zh-CN"/>
        </w:rPr>
        <w:t>。</w:t>
      </w:r>
    </w:p>
    <w:p w14:paraId="3C760335">
      <w:pPr>
        <w:pageBreakBefore w:val="0"/>
        <w:kinsoku/>
        <w:wordWrap/>
        <w:overflowPunct/>
        <w:topLinePunct w:val="0"/>
        <w:bidi w:val="0"/>
        <w:spacing w:line="360" w:lineRule="auto"/>
        <w:ind w:firstLine="402" w:firstLineChars="200"/>
        <w:textAlignment w:val="auto"/>
        <w:rPr>
          <w:rFonts w:hint="eastAsia" w:ascii="宋体" w:hAnsi="宋体" w:eastAsia="宋体" w:cs="宋体"/>
          <w:b/>
          <w:bCs w:val="0"/>
          <w:color w:val="auto"/>
          <w:sz w:val="20"/>
          <w:szCs w:val="20"/>
          <w:highlight w:val="none"/>
        </w:rPr>
      </w:pPr>
      <w:r>
        <w:rPr>
          <w:rFonts w:hint="eastAsia" w:ascii="宋体" w:hAnsi="宋体" w:eastAsia="宋体" w:cs="宋体"/>
          <w:b/>
          <w:bCs w:val="0"/>
          <w:color w:val="auto"/>
          <w:sz w:val="20"/>
          <w:szCs w:val="20"/>
          <w:highlight w:val="none"/>
          <w:lang w:val="en-US" w:eastAsia="zh-CN"/>
        </w:rPr>
        <w:t>七、</w:t>
      </w:r>
      <w:r>
        <w:rPr>
          <w:rFonts w:hint="eastAsia" w:ascii="宋体" w:hAnsi="宋体" w:eastAsia="宋体" w:cs="宋体"/>
          <w:b/>
          <w:bCs w:val="0"/>
          <w:color w:val="auto"/>
          <w:sz w:val="20"/>
          <w:szCs w:val="20"/>
          <w:highlight w:val="none"/>
        </w:rPr>
        <w:t>成果交付要求</w:t>
      </w:r>
    </w:p>
    <w:p w14:paraId="5F25B680">
      <w:pPr>
        <w:pageBreakBefore w:val="0"/>
        <w:kinsoku/>
        <w:wordWrap/>
        <w:overflowPunct/>
        <w:topLinePunct w:val="0"/>
        <w:bidi w:val="0"/>
        <w:spacing w:line="360" w:lineRule="auto"/>
        <w:ind w:firstLine="400" w:firstLineChars="200"/>
        <w:textAlignment w:val="auto"/>
        <w:rPr>
          <w:rFonts w:hint="eastAsia" w:ascii="宋体" w:hAnsi="宋体" w:eastAsia="宋体" w:cs="宋体"/>
          <w:bCs/>
          <w:color w:val="auto"/>
          <w:sz w:val="20"/>
          <w:szCs w:val="20"/>
          <w:highlight w:val="none"/>
          <w:lang w:val="en-US" w:eastAsia="zh-CN"/>
        </w:rPr>
      </w:pPr>
      <w:r>
        <w:rPr>
          <w:rFonts w:hint="eastAsia" w:ascii="宋体" w:hAnsi="宋体" w:eastAsia="宋体" w:cs="宋体"/>
          <w:bCs/>
          <w:color w:val="auto"/>
          <w:sz w:val="20"/>
          <w:szCs w:val="20"/>
          <w:highlight w:val="none"/>
          <w:lang w:val="en-US" w:eastAsia="zh-CN"/>
        </w:rPr>
        <w:t>1、数据成果</w:t>
      </w:r>
    </w:p>
    <w:p w14:paraId="3BDF3A7F">
      <w:pPr>
        <w:pageBreakBefore w:val="0"/>
        <w:kinsoku/>
        <w:wordWrap/>
        <w:overflowPunct/>
        <w:topLinePunct w:val="0"/>
        <w:bidi w:val="0"/>
        <w:spacing w:line="360" w:lineRule="auto"/>
        <w:ind w:firstLine="400" w:firstLineChars="200"/>
        <w:textAlignment w:val="auto"/>
        <w:rPr>
          <w:rFonts w:hint="eastAsia" w:ascii="宋体" w:hAnsi="宋体" w:eastAsia="宋体" w:cs="宋体"/>
          <w:bCs/>
          <w:color w:val="auto"/>
          <w:sz w:val="20"/>
          <w:szCs w:val="20"/>
          <w:highlight w:val="none"/>
          <w:lang w:val="en-US" w:eastAsia="zh-CN"/>
        </w:rPr>
      </w:pPr>
      <w:r>
        <w:rPr>
          <w:rFonts w:hint="eastAsia" w:ascii="宋体" w:hAnsi="宋体" w:eastAsia="宋体" w:cs="宋体"/>
          <w:bCs/>
          <w:color w:val="auto"/>
          <w:sz w:val="20"/>
          <w:szCs w:val="20"/>
          <w:highlight w:val="none"/>
          <w:lang w:val="en-US" w:eastAsia="zh-CN"/>
        </w:rPr>
        <w:t>按照统一要求，通过整合、采集、细化与更新形成的空间数据成果。城市国土空间监测数据库文件名=“610115”+“临潼区”+“_”+“CSJC”+监测年份+“.gdb”。</w:t>
      </w:r>
    </w:p>
    <w:p w14:paraId="4ED5C3B9">
      <w:pPr>
        <w:pageBreakBefore w:val="0"/>
        <w:kinsoku/>
        <w:wordWrap/>
        <w:overflowPunct/>
        <w:topLinePunct w:val="0"/>
        <w:bidi w:val="0"/>
        <w:spacing w:line="360" w:lineRule="auto"/>
        <w:ind w:firstLine="400" w:firstLineChars="200"/>
        <w:textAlignment w:val="auto"/>
        <w:rPr>
          <w:rFonts w:hint="eastAsia" w:ascii="宋体" w:hAnsi="宋体" w:eastAsia="宋体" w:cs="宋体"/>
          <w:bCs/>
          <w:color w:val="auto"/>
          <w:sz w:val="20"/>
          <w:szCs w:val="20"/>
          <w:highlight w:val="none"/>
          <w:lang w:val="en-US" w:eastAsia="zh-CN"/>
        </w:rPr>
      </w:pPr>
      <w:r>
        <w:rPr>
          <w:rFonts w:hint="eastAsia" w:ascii="宋体" w:hAnsi="宋体" w:eastAsia="宋体" w:cs="宋体"/>
          <w:bCs/>
          <w:color w:val="auto"/>
          <w:sz w:val="20"/>
          <w:szCs w:val="20"/>
          <w:highlight w:val="none"/>
          <w:lang w:val="en-US" w:eastAsia="zh-CN"/>
        </w:rPr>
        <w:t>2、表格成果</w:t>
      </w:r>
    </w:p>
    <w:p w14:paraId="5E0C526A">
      <w:pPr>
        <w:pageBreakBefore w:val="0"/>
        <w:kinsoku/>
        <w:wordWrap/>
        <w:overflowPunct/>
        <w:topLinePunct w:val="0"/>
        <w:bidi w:val="0"/>
        <w:spacing w:line="360" w:lineRule="auto"/>
        <w:ind w:firstLine="400" w:firstLineChars="200"/>
        <w:textAlignment w:val="auto"/>
        <w:rPr>
          <w:rFonts w:hint="eastAsia" w:ascii="宋体" w:hAnsi="宋体" w:eastAsia="宋体" w:cs="宋体"/>
          <w:bCs/>
          <w:color w:val="auto"/>
          <w:sz w:val="20"/>
          <w:szCs w:val="20"/>
          <w:highlight w:val="none"/>
          <w:lang w:val="en-US" w:eastAsia="zh-CN"/>
        </w:rPr>
      </w:pPr>
      <w:r>
        <w:rPr>
          <w:rFonts w:hint="eastAsia" w:ascii="宋体" w:hAnsi="宋体" w:eastAsia="宋体" w:cs="宋体"/>
          <w:bCs/>
          <w:color w:val="auto"/>
          <w:sz w:val="20"/>
          <w:szCs w:val="20"/>
          <w:highlight w:val="none"/>
          <w:lang w:val="en-US" w:eastAsia="zh-CN"/>
        </w:rPr>
        <w:t>基于数据库成果形成的统计表格</w:t>
      </w:r>
    </w:p>
    <w:p w14:paraId="41722087">
      <w:pPr>
        <w:pageBreakBefore w:val="0"/>
        <w:kinsoku/>
        <w:wordWrap/>
        <w:overflowPunct/>
        <w:topLinePunct w:val="0"/>
        <w:bidi w:val="0"/>
        <w:spacing w:line="360" w:lineRule="auto"/>
        <w:ind w:firstLine="400" w:firstLineChars="200"/>
        <w:textAlignment w:val="auto"/>
        <w:rPr>
          <w:rFonts w:hint="eastAsia" w:ascii="宋体" w:hAnsi="宋体" w:eastAsia="宋体" w:cs="宋体"/>
          <w:bCs/>
          <w:color w:val="auto"/>
          <w:sz w:val="20"/>
          <w:szCs w:val="20"/>
          <w:highlight w:val="none"/>
          <w:lang w:val="en-US" w:eastAsia="zh-CN"/>
        </w:rPr>
      </w:pPr>
      <w:r>
        <w:rPr>
          <w:rFonts w:hint="eastAsia" w:ascii="宋体" w:hAnsi="宋体" w:eastAsia="宋体" w:cs="宋体"/>
          <w:bCs/>
          <w:color w:val="auto"/>
          <w:sz w:val="20"/>
          <w:szCs w:val="20"/>
          <w:highlight w:val="none"/>
          <w:lang w:val="en-US" w:eastAsia="zh-CN"/>
        </w:rPr>
        <w:t>3、文字成果</w:t>
      </w:r>
    </w:p>
    <w:p w14:paraId="0F0E49D9">
      <w:pPr>
        <w:pageBreakBefore w:val="0"/>
        <w:kinsoku/>
        <w:wordWrap/>
        <w:overflowPunct/>
        <w:topLinePunct w:val="0"/>
        <w:bidi w:val="0"/>
        <w:spacing w:line="360" w:lineRule="auto"/>
        <w:ind w:firstLine="400" w:firstLineChars="200"/>
        <w:textAlignment w:val="auto"/>
        <w:rPr>
          <w:rFonts w:hint="eastAsia" w:ascii="宋体" w:hAnsi="宋体" w:eastAsia="宋体" w:cs="宋体"/>
          <w:bCs/>
          <w:color w:val="auto"/>
          <w:sz w:val="20"/>
          <w:szCs w:val="20"/>
          <w:highlight w:val="none"/>
          <w:lang w:val="en-US" w:eastAsia="zh-CN"/>
        </w:rPr>
      </w:pPr>
      <w:r>
        <w:rPr>
          <w:rFonts w:hint="eastAsia" w:ascii="宋体" w:hAnsi="宋体" w:eastAsia="宋体" w:cs="宋体"/>
          <w:bCs/>
          <w:color w:val="auto"/>
          <w:sz w:val="20"/>
          <w:szCs w:val="20"/>
          <w:highlight w:val="none"/>
          <w:lang w:val="en-US" w:eastAsia="zh-CN"/>
        </w:rPr>
        <w:t>项目成果报告等。</w:t>
      </w:r>
    </w:p>
    <w:p w14:paraId="6AAAD029">
      <w:pPr>
        <w:pageBreakBefore w:val="0"/>
        <w:kinsoku/>
        <w:wordWrap/>
        <w:overflowPunct/>
        <w:topLinePunct w:val="0"/>
        <w:bidi w:val="0"/>
        <w:spacing w:line="360" w:lineRule="auto"/>
        <w:ind w:firstLine="400" w:firstLineChars="200"/>
        <w:textAlignment w:val="auto"/>
        <w:rPr>
          <w:rFonts w:hint="eastAsia" w:ascii="宋体" w:hAnsi="宋体" w:eastAsia="宋体" w:cs="宋体"/>
          <w:bCs/>
          <w:color w:val="auto"/>
          <w:sz w:val="20"/>
          <w:szCs w:val="20"/>
          <w:highlight w:val="none"/>
          <w:lang w:val="en-US" w:eastAsia="zh-CN"/>
        </w:rPr>
      </w:pPr>
      <w:r>
        <w:rPr>
          <w:rFonts w:hint="eastAsia" w:ascii="宋体" w:hAnsi="宋体" w:eastAsia="宋体" w:cs="宋体"/>
          <w:bCs/>
          <w:color w:val="auto"/>
          <w:sz w:val="20"/>
          <w:szCs w:val="20"/>
          <w:highlight w:val="none"/>
          <w:lang w:val="en-US" w:eastAsia="zh-CN"/>
        </w:rPr>
        <w:t>以上资料提供电子版成果。</w:t>
      </w:r>
      <w:bookmarkStart w:id="3" w:name="_GoBack"/>
      <w:bookmarkEnd w:id="3"/>
    </w:p>
    <w:p w14:paraId="26B34E7A">
      <w:pPr>
        <w:pageBreakBefore w:val="0"/>
        <w:kinsoku/>
        <w:wordWrap/>
        <w:overflowPunct/>
        <w:topLinePunct w:val="0"/>
        <w:bidi w:val="0"/>
        <w:spacing w:line="360" w:lineRule="auto"/>
        <w:ind w:firstLine="402" w:firstLineChars="200"/>
        <w:textAlignment w:val="auto"/>
        <w:rPr>
          <w:rFonts w:hint="eastAsia" w:ascii="宋体" w:hAnsi="宋体" w:eastAsia="宋体" w:cs="宋体"/>
          <w:b/>
          <w:bCs w:val="0"/>
          <w:color w:val="auto"/>
          <w:sz w:val="20"/>
          <w:szCs w:val="20"/>
          <w:highlight w:val="none"/>
        </w:rPr>
      </w:pPr>
      <w:r>
        <w:rPr>
          <w:rFonts w:hint="eastAsia" w:ascii="宋体" w:hAnsi="宋体" w:cs="宋体"/>
          <w:b/>
          <w:bCs w:val="0"/>
          <w:color w:val="auto"/>
          <w:sz w:val="20"/>
          <w:szCs w:val="20"/>
          <w:highlight w:val="none"/>
          <w:lang w:val="en-US" w:eastAsia="zh-CN"/>
        </w:rPr>
        <w:t>八、</w:t>
      </w:r>
      <w:r>
        <w:rPr>
          <w:rFonts w:hint="eastAsia" w:ascii="宋体" w:hAnsi="宋体" w:eastAsia="宋体" w:cs="宋体"/>
          <w:b/>
          <w:bCs w:val="0"/>
          <w:color w:val="auto"/>
          <w:sz w:val="20"/>
          <w:szCs w:val="20"/>
          <w:highlight w:val="none"/>
        </w:rPr>
        <w:t>成果权属</w:t>
      </w:r>
    </w:p>
    <w:p w14:paraId="5B93441D">
      <w:pPr>
        <w:pageBreakBefore w:val="0"/>
        <w:kinsoku/>
        <w:wordWrap/>
        <w:overflowPunct/>
        <w:topLinePunct w:val="0"/>
        <w:bidi w:val="0"/>
        <w:spacing w:line="360" w:lineRule="auto"/>
        <w:ind w:firstLine="400" w:firstLineChars="200"/>
        <w:textAlignment w:val="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在合同有效期内，乙方在合同义务下所完成的需提交给甲方的全部成果（包括知识产权）全部归甲方所有，乙方不得擅自使用、公开。</w:t>
      </w:r>
    </w:p>
    <w:p w14:paraId="5B5B4CE9">
      <w:pPr>
        <w:pageBreakBefore w:val="0"/>
        <w:kinsoku/>
        <w:wordWrap/>
        <w:overflowPunct/>
        <w:topLinePunct w:val="0"/>
        <w:bidi w:val="0"/>
        <w:spacing w:line="360" w:lineRule="auto"/>
        <w:ind w:firstLine="402" w:firstLineChars="200"/>
        <w:textAlignment w:val="auto"/>
        <w:rPr>
          <w:rFonts w:hint="eastAsia" w:ascii="宋体" w:hAnsi="宋体" w:eastAsia="宋体" w:cs="宋体"/>
          <w:b/>
          <w:bCs w:val="0"/>
          <w:color w:val="auto"/>
          <w:sz w:val="20"/>
          <w:szCs w:val="20"/>
          <w:highlight w:val="none"/>
        </w:rPr>
      </w:pPr>
      <w:r>
        <w:rPr>
          <w:rFonts w:hint="eastAsia" w:ascii="宋体" w:hAnsi="宋体" w:cs="宋体"/>
          <w:b/>
          <w:bCs w:val="0"/>
          <w:color w:val="auto"/>
          <w:sz w:val="20"/>
          <w:szCs w:val="20"/>
          <w:highlight w:val="none"/>
          <w:lang w:val="en-US" w:eastAsia="zh-CN"/>
        </w:rPr>
        <w:t>九</w:t>
      </w:r>
      <w:r>
        <w:rPr>
          <w:rFonts w:hint="eastAsia" w:ascii="宋体" w:hAnsi="宋体" w:eastAsia="宋体" w:cs="宋体"/>
          <w:b/>
          <w:bCs w:val="0"/>
          <w:color w:val="auto"/>
          <w:sz w:val="20"/>
          <w:szCs w:val="20"/>
          <w:highlight w:val="none"/>
          <w:lang w:val="en-US" w:eastAsia="zh-CN"/>
        </w:rPr>
        <w:t>、</w:t>
      </w:r>
      <w:r>
        <w:rPr>
          <w:rFonts w:hint="eastAsia" w:ascii="宋体" w:hAnsi="宋体" w:eastAsia="宋体" w:cs="宋体"/>
          <w:b/>
          <w:bCs w:val="0"/>
          <w:color w:val="auto"/>
          <w:sz w:val="20"/>
          <w:szCs w:val="20"/>
          <w:highlight w:val="none"/>
        </w:rPr>
        <w:t>保密条款</w:t>
      </w:r>
    </w:p>
    <w:p w14:paraId="3FEA6D31">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1</w:t>
      </w:r>
      <w:r>
        <w:rPr>
          <w:rFonts w:hint="eastAsia" w:ascii="宋体" w:hAnsi="宋体" w:cs="宋体"/>
          <w:color w:val="auto"/>
          <w:sz w:val="20"/>
          <w:szCs w:val="20"/>
          <w:highlight w:val="none"/>
          <w:lang w:val="en-US" w:eastAsia="zh-CN"/>
        </w:rPr>
        <w:t>.</w:t>
      </w:r>
      <w:r>
        <w:rPr>
          <w:rFonts w:hint="eastAsia" w:ascii="宋体" w:hAnsi="宋体" w:eastAsia="宋体" w:cs="宋体"/>
          <w:color w:val="auto"/>
          <w:sz w:val="20"/>
          <w:szCs w:val="20"/>
          <w:highlight w:val="none"/>
          <w:lang w:val="zh-CN"/>
        </w:rPr>
        <w:t>乙方应遵守国家有关保密的法律法规和行业规定，并对甲方提供的资料负有保密义务。未经甲方书面同意，不得将承接政府服务项目获得的政府、公民个人等各种信息和资料以及该项目中的所有中间成果和最终成果提供给其他单位和个人。如发生以上情况，甲方有权索赔。</w:t>
      </w:r>
    </w:p>
    <w:p w14:paraId="307273F7">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2</w:t>
      </w:r>
      <w:r>
        <w:rPr>
          <w:rFonts w:hint="eastAsia" w:ascii="宋体" w:hAnsi="宋体" w:cs="宋体"/>
          <w:color w:val="auto"/>
          <w:sz w:val="20"/>
          <w:szCs w:val="20"/>
          <w:highlight w:val="none"/>
          <w:lang w:val="en-US" w:eastAsia="zh-CN"/>
        </w:rPr>
        <w:t>.</w:t>
      </w:r>
      <w:r>
        <w:rPr>
          <w:rFonts w:hint="eastAsia" w:ascii="宋体" w:hAnsi="宋体" w:eastAsia="宋体" w:cs="宋体"/>
          <w:color w:val="auto"/>
          <w:sz w:val="20"/>
          <w:szCs w:val="20"/>
          <w:highlight w:val="none"/>
          <w:lang w:val="zh-CN"/>
        </w:rPr>
        <w:t>乙方有义务保护调查中的全部资料及成果，非经甲方书面同意，不得将交付的具有知识产权性质的成果文件、资料向任何第三方转让或用于本合同以外的项目。如发生以上情况，甲方有权索赔。</w:t>
      </w:r>
    </w:p>
    <w:p w14:paraId="54859FDA">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3</w:t>
      </w:r>
      <w:r>
        <w:rPr>
          <w:rFonts w:hint="eastAsia" w:ascii="宋体" w:hAnsi="宋体" w:cs="宋体"/>
          <w:color w:val="auto"/>
          <w:sz w:val="20"/>
          <w:szCs w:val="20"/>
          <w:highlight w:val="none"/>
          <w:lang w:val="en-US" w:eastAsia="zh-CN"/>
        </w:rPr>
        <w:t>.</w:t>
      </w:r>
      <w:r>
        <w:rPr>
          <w:rFonts w:hint="eastAsia" w:ascii="宋体" w:hAnsi="宋体" w:eastAsia="宋体" w:cs="宋体"/>
          <w:color w:val="auto"/>
          <w:sz w:val="20"/>
          <w:szCs w:val="20"/>
          <w:highlight w:val="none"/>
          <w:lang w:val="zh-CN"/>
        </w:rPr>
        <w:t>本条款为独立条款，本合同的无效、变更、解除和终止均不影响本条款的效力。</w:t>
      </w:r>
    </w:p>
    <w:p w14:paraId="5485F2CF">
      <w:pPr>
        <w:pageBreakBefore w:val="0"/>
        <w:kinsoku/>
        <w:wordWrap/>
        <w:overflowPunct/>
        <w:topLinePunct w:val="0"/>
        <w:bidi w:val="0"/>
        <w:spacing w:line="360" w:lineRule="auto"/>
        <w:ind w:firstLine="402" w:firstLineChars="200"/>
        <w:textAlignment w:val="auto"/>
        <w:rPr>
          <w:rFonts w:hint="eastAsia" w:ascii="宋体" w:hAnsi="宋体" w:eastAsia="宋体" w:cs="宋体"/>
          <w:b/>
          <w:bCs w:val="0"/>
          <w:color w:val="auto"/>
          <w:sz w:val="20"/>
          <w:szCs w:val="20"/>
          <w:highlight w:val="none"/>
        </w:rPr>
      </w:pPr>
      <w:r>
        <w:rPr>
          <w:rFonts w:hint="eastAsia" w:ascii="宋体" w:hAnsi="宋体" w:cs="宋体"/>
          <w:b/>
          <w:bCs w:val="0"/>
          <w:color w:val="auto"/>
          <w:sz w:val="20"/>
          <w:szCs w:val="20"/>
          <w:highlight w:val="none"/>
          <w:lang w:val="en-US" w:eastAsia="zh-CN"/>
        </w:rPr>
        <w:t>十</w:t>
      </w:r>
      <w:r>
        <w:rPr>
          <w:rFonts w:hint="eastAsia" w:ascii="宋体" w:hAnsi="宋体" w:eastAsia="宋体" w:cs="宋体"/>
          <w:b/>
          <w:bCs w:val="0"/>
          <w:color w:val="auto"/>
          <w:sz w:val="20"/>
          <w:szCs w:val="20"/>
          <w:highlight w:val="none"/>
          <w:lang w:val="en-US" w:eastAsia="zh-CN"/>
        </w:rPr>
        <w:t>、</w:t>
      </w:r>
      <w:r>
        <w:rPr>
          <w:rFonts w:hint="eastAsia" w:ascii="宋体" w:hAnsi="宋体" w:eastAsia="宋体" w:cs="宋体"/>
          <w:b/>
          <w:bCs w:val="0"/>
          <w:color w:val="auto"/>
          <w:sz w:val="20"/>
          <w:szCs w:val="20"/>
          <w:highlight w:val="none"/>
        </w:rPr>
        <w:t>违约责任</w:t>
      </w:r>
      <w:bookmarkEnd w:id="1"/>
      <w:bookmarkEnd w:id="2"/>
    </w:p>
    <w:p w14:paraId="0DABE018">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1.</w:t>
      </w:r>
      <w:r>
        <w:rPr>
          <w:rFonts w:hint="eastAsia" w:ascii="宋体" w:hAnsi="宋体" w:eastAsia="宋体" w:cs="宋体"/>
          <w:color w:val="auto"/>
          <w:sz w:val="20"/>
          <w:szCs w:val="20"/>
          <w:highlight w:val="none"/>
          <w:lang w:val="zh-CN"/>
        </w:rPr>
        <w:t>未经甲方书面同意，乙方擅自将服务过程中所接触到的甲方资料、数据和信息，以及在合同履行中过程中形成的一切与甲方有关的资料、数据和信息泄露给第三方，甲方有权单方面解除合同，并由乙方支付本合同总价款的20%作为违约金。由此导致甲方造成损失的，乙方还应当赔偿甲方的全部损失。</w:t>
      </w:r>
    </w:p>
    <w:p w14:paraId="182995D1">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2</w:t>
      </w:r>
      <w:r>
        <w:rPr>
          <w:rFonts w:hint="eastAsia" w:ascii="宋体" w:hAnsi="宋体" w:eastAsia="宋体" w:cs="宋体"/>
          <w:color w:val="auto"/>
          <w:sz w:val="20"/>
          <w:szCs w:val="20"/>
          <w:highlight w:val="none"/>
          <w:lang w:val="zh-CN"/>
        </w:rPr>
        <w:t>.乙方未按照合同约定或者甲方要求履行合同义务，或者在履行职务过程中出现遗漏或错误的，乙方应当在甲方确定的期限内无偿采取补救措施且不免除逾期责任，直到达到质量要求。若乙方拒绝补救或补救后仍不能达到质量要求的，甲方有权单方面解除合同。甲方解除合同后，乙方除需返还已收取的价款，向甲方支付本合同总价款20%的违约金，还应赔偿甲方的全部损失。</w:t>
      </w:r>
    </w:p>
    <w:p w14:paraId="088D659B">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3.</w:t>
      </w:r>
      <w:r>
        <w:rPr>
          <w:rFonts w:hint="eastAsia" w:ascii="宋体" w:hAnsi="宋体" w:eastAsia="宋体" w:cs="宋体"/>
          <w:color w:val="auto"/>
          <w:sz w:val="20"/>
          <w:szCs w:val="20"/>
          <w:highlight w:val="none"/>
          <w:lang w:val="zh-CN"/>
        </w:rPr>
        <w:t>乙方逾期交付合同规定的成果材料，每延误一天，应向甲方支付该阶段应收费用0.2‰的逾期违约金，逾期超30天以上，甲方有权单方面解除合同。甲方解除合同后，剩余款项不再支付，乙方除需返还已收取的价款，向甲方支付本合同总价款20%的违约金，还应赔偿甲方的全部损失。</w:t>
      </w:r>
    </w:p>
    <w:p w14:paraId="478A7831">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4</w:t>
      </w:r>
      <w:r>
        <w:rPr>
          <w:rFonts w:hint="eastAsia" w:ascii="宋体" w:hAnsi="宋体" w:eastAsia="宋体" w:cs="宋体"/>
          <w:color w:val="auto"/>
          <w:sz w:val="20"/>
          <w:szCs w:val="20"/>
          <w:highlight w:val="none"/>
          <w:lang w:val="zh-CN"/>
        </w:rPr>
        <w:t>.乙方所提交的成果资料，存在侵犯第三方包括知识产权在内等其他权利的情形，由乙方自行承担法律责任，由此给甲方造成损失的，还应当承担赔偿责任。</w:t>
      </w:r>
    </w:p>
    <w:p w14:paraId="64E1BD16">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本合同约定的乙方违约损失赔偿责任，包括但不限于</w:t>
      </w:r>
      <w:r>
        <w:rPr>
          <w:rFonts w:hint="eastAsia" w:ascii="宋体" w:hAnsi="宋体" w:eastAsia="宋体" w:cs="宋体"/>
          <w:color w:val="auto"/>
          <w:sz w:val="20"/>
          <w:szCs w:val="20"/>
          <w:highlight w:val="none"/>
        </w:rPr>
        <w:t>由此给甲方造成的</w:t>
      </w:r>
      <w:r>
        <w:rPr>
          <w:rFonts w:hint="eastAsia" w:ascii="宋体" w:hAnsi="宋体" w:eastAsia="宋体" w:cs="宋体"/>
          <w:color w:val="auto"/>
          <w:sz w:val="20"/>
          <w:szCs w:val="20"/>
          <w:highlight w:val="none"/>
          <w:lang w:val="zh-CN"/>
        </w:rPr>
        <w:t>直接</w:t>
      </w:r>
      <w:r>
        <w:rPr>
          <w:rFonts w:hint="eastAsia" w:ascii="宋体" w:hAnsi="宋体" w:eastAsia="宋体" w:cs="宋体"/>
          <w:color w:val="auto"/>
          <w:sz w:val="20"/>
          <w:szCs w:val="20"/>
          <w:highlight w:val="none"/>
        </w:rPr>
        <w:t>经济</w:t>
      </w:r>
      <w:r>
        <w:rPr>
          <w:rFonts w:hint="eastAsia" w:ascii="宋体" w:hAnsi="宋体" w:eastAsia="宋体" w:cs="宋体"/>
          <w:color w:val="auto"/>
          <w:sz w:val="20"/>
          <w:szCs w:val="20"/>
          <w:highlight w:val="none"/>
          <w:lang w:val="zh-CN"/>
        </w:rPr>
        <w:t>损失、</w:t>
      </w:r>
      <w:r>
        <w:rPr>
          <w:rFonts w:hint="eastAsia" w:ascii="宋体" w:hAnsi="宋体" w:eastAsia="宋体" w:cs="宋体"/>
          <w:color w:val="auto"/>
          <w:sz w:val="20"/>
          <w:szCs w:val="20"/>
          <w:highlight w:val="none"/>
        </w:rPr>
        <w:t>可预期利益</w:t>
      </w:r>
      <w:r>
        <w:rPr>
          <w:rFonts w:hint="eastAsia" w:ascii="宋体" w:hAnsi="宋体" w:eastAsia="宋体" w:cs="宋体"/>
          <w:color w:val="auto"/>
          <w:sz w:val="20"/>
          <w:szCs w:val="20"/>
          <w:highlight w:val="none"/>
          <w:lang w:val="zh-CN"/>
        </w:rPr>
        <w:t>、</w:t>
      </w:r>
      <w:r>
        <w:rPr>
          <w:rFonts w:hint="eastAsia" w:ascii="宋体" w:hAnsi="宋体" w:eastAsia="宋体" w:cs="宋体"/>
          <w:color w:val="auto"/>
          <w:sz w:val="20"/>
          <w:szCs w:val="20"/>
          <w:highlight w:val="none"/>
        </w:rPr>
        <w:t>因另行委托第三方所产生的费用，以及甲方因维权所产生的</w:t>
      </w:r>
      <w:r>
        <w:rPr>
          <w:rFonts w:hint="eastAsia" w:ascii="宋体" w:hAnsi="宋体" w:eastAsia="宋体" w:cs="宋体"/>
          <w:color w:val="auto"/>
          <w:sz w:val="20"/>
          <w:szCs w:val="20"/>
          <w:highlight w:val="none"/>
          <w:lang w:val="zh-CN"/>
        </w:rPr>
        <w:t>律师费、鉴定费、诉讼费等所有费用。</w:t>
      </w:r>
    </w:p>
    <w:p w14:paraId="4E2DF497">
      <w:pPr>
        <w:pageBreakBefore w:val="0"/>
        <w:kinsoku/>
        <w:wordWrap/>
        <w:overflowPunct/>
        <w:topLinePunct w:val="0"/>
        <w:bidi w:val="0"/>
        <w:spacing w:line="360" w:lineRule="auto"/>
        <w:ind w:firstLine="402" w:firstLineChars="200"/>
        <w:textAlignment w:val="auto"/>
        <w:rPr>
          <w:rFonts w:hint="eastAsia" w:ascii="宋体" w:hAnsi="宋体" w:eastAsia="宋体" w:cs="宋体"/>
          <w:b/>
          <w:bCs w:val="0"/>
          <w:color w:val="auto"/>
          <w:sz w:val="20"/>
          <w:szCs w:val="20"/>
          <w:highlight w:val="none"/>
        </w:rPr>
      </w:pPr>
      <w:r>
        <w:rPr>
          <w:rFonts w:hint="eastAsia" w:ascii="宋体" w:hAnsi="宋体" w:eastAsia="宋体" w:cs="宋体"/>
          <w:b/>
          <w:bCs w:val="0"/>
          <w:color w:val="auto"/>
          <w:sz w:val="20"/>
          <w:szCs w:val="20"/>
          <w:highlight w:val="none"/>
        </w:rPr>
        <w:t>十</w:t>
      </w:r>
      <w:r>
        <w:rPr>
          <w:rFonts w:hint="eastAsia" w:ascii="宋体" w:hAnsi="宋体" w:cs="宋体"/>
          <w:b/>
          <w:bCs w:val="0"/>
          <w:color w:val="auto"/>
          <w:sz w:val="20"/>
          <w:szCs w:val="20"/>
          <w:highlight w:val="none"/>
          <w:lang w:val="en-US" w:eastAsia="zh-CN"/>
        </w:rPr>
        <w:t>一</w:t>
      </w:r>
      <w:r>
        <w:rPr>
          <w:rFonts w:hint="eastAsia" w:ascii="宋体" w:hAnsi="宋体" w:eastAsia="宋体" w:cs="宋体"/>
          <w:b/>
          <w:bCs w:val="0"/>
          <w:color w:val="auto"/>
          <w:sz w:val="20"/>
          <w:szCs w:val="20"/>
          <w:highlight w:val="none"/>
        </w:rPr>
        <w:t>、争议解决</w:t>
      </w:r>
    </w:p>
    <w:p w14:paraId="3DA9EE8F">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1．在执行本合同中发生的或与本合同有关的争端，双方应通过友好协商解决，经协商在</w:t>
      </w:r>
      <w:r>
        <w:rPr>
          <w:rFonts w:hint="eastAsia" w:ascii="宋体" w:hAnsi="宋体" w:eastAsia="宋体" w:cs="宋体"/>
          <w:color w:val="auto"/>
          <w:sz w:val="20"/>
          <w:szCs w:val="20"/>
          <w:highlight w:val="none"/>
          <w:lang w:val="en-US" w:eastAsia="zh-CN"/>
        </w:rPr>
        <w:t>20</w:t>
      </w:r>
      <w:r>
        <w:rPr>
          <w:rFonts w:hint="eastAsia" w:ascii="宋体" w:hAnsi="宋体" w:eastAsia="宋体" w:cs="宋体"/>
          <w:color w:val="auto"/>
          <w:sz w:val="20"/>
          <w:szCs w:val="20"/>
          <w:highlight w:val="none"/>
          <w:lang w:val="zh-CN"/>
        </w:rPr>
        <w:t>天内不能达成协议时，则采取以下第</w:t>
      </w:r>
      <w:r>
        <w:rPr>
          <w:rFonts w:hint="eastAsia" w:ascii="宋体" w:hAnsi="宋体" w:eastAsia="宋体" w:cs="宋体"/>
          <w:color w:val="auto"/>
          <w:sz w:val="20"/>
          <w:szCs w:val="20"/>
          <w:highlight w:val="none"/>
          <w:lang w:val="en-US" w:eastAsia="zh-CN"/>
        </w:rPr>
        <w:t>（</w:t>
      </w:r>
      <w:r>
        <w:rPr>
          <w:rFonts w:hint="eastAsia" w:ascii="宋体" w:hAnsi="宋体" w:cs="宋体"/>
          <w:color w:val="auto"/>
          <w:sz w:val="20"/>
          <w:szCs w:val="20"/>
          <w:highlight w:val="none"/>
          <w:lang w:val="en-US" w:eastAsia="zh-CN"/>
        </w:rPr>
        <w:t>1</w:t>
      </w:r>
      <w:r>
        <w:rPr>
          <w:rFonts w:hint="eastAsia" w:ascii="宋体" w:hAnsi="宋体" w:eastAsia="宋体" w:cs="宋体"/>
          <w:color w:val="auto"/>
          <w:sz w:val="20"/>
          <w:szCs w:val="20"/>
          <w:highlight w:val="none"/>
          <w:lang w:val="en-US" w:eastAsia="zh-CN"/>
        </w:rPr>
        <w:t>）</w:t>
      </w:r>
      <w:r>
        <w:rPr>
          <w:rFonts w:hint="eastAsia" w:ascii="宋体" w:hAnsi="宋体" w:eastAsia="宋体" w:cs="宋体"/>
          <w:color w:val="auto"/>
          <w:sz w:val="20"/>
          <w:szCs w:val="20"/>
          <w:highlight w:val="none"/>
          <w:lang w:val="zh-CN"/>
        </w:rPr>
        <w:t>种方式解决争议：</w:t>
      </w:r>
    </w:p>
    <w:p w14:paraId="10291972">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（1）向甲方所在地有管辖权的人民法院提起诉讼；</w:t>
      </w:r>
    </w:p>
    <w:p w14:paraId="5FF5EBBB">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（2）向西安仲裁委员会按其仲裁规则申请仲裁。</w:t>
      </w:r>
    </w:p>
    <w:p w14:paraId="6741BD21">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2．在仲裁期间，本合同应继续履行。</w:t>
      </w:r>
    </w:p>
    <w:p w14:paraId="449830CF">
      <w:pPr>
        <w:pageBreakBefore w:val="0"/>
        <w:kinsoku/>
        <w:wordWrap/>
        <w:overflowPunct/>
        <w:topLinePunct w:val="0"/>
        <w:bidi w:val="0"/>
        <w:spacing w:line="360" w:lineRule="auto"/>
        <w:ind w:firstLine="402" w:firstLineChars="200"/>
        <w:textAlignment w:val="auto"/>
        <w:rPr>
          <w:rFonts w:hint="eastAsia" w:ascii="宋体" w:hAnsi="宋体" w:eastAsia="宋体" w:cs="宋体"/>
          <w:b/>
          <w:bCs w:val="0"/>
          <w:color w:val="auto"/>
          <w:sz w:val="20"/>
          <w:szCs w:val="20"/>
          <w:highlight w:val="none"/>
          <w:lang w:val="zh-CN"/>
        </w:rPr>
      </w:pPr>
      <w:r>
        <w:rPr>
          <w:rFonts w:hint="eastAsia" w:ascii="宋体" w:hAnsi="宋体" w:eastAsia="宋体" w:cs="宋体"/>
          <w:b/>
          <w:bCs w:val="0"/>
          <w:color w:val="auto"/>
          <w:sz w:val="20"/>
          <w:szCs w:val="20"/>
          <w:highlight w:val="none"/>
        </w:rPr>
        <w:t>十</w:t>
      </w:r>
      <w:r>
        <w:rPr>
          <w:rFonts w:hint="eastAsia" w:ascii="宋体" w:hAnsi="宋体" w:cs="宋体"/>
          <w:b/>
          <w:bCs w:val="0"/>
          <w:color w:val="auto"/>
          <w:sz w:val="20"/>
          <w:szCs w:val="20"/>
          <w:highlight w:val="none"/>
          <w:lang w:val="en-US" w:eastAsia="zh-CN"/>
        </w:rPr>
        <w:t>二</w:t>
      </w:r>
      <w:r>
        <w:rPr>
          <w:rFonts w:hint="eastAsia" w:ascii="宋体" w:hAnsi="宋体" w:eastAsia="宋体" w:cs="宋体"/>
          <w:b/>
          <w:bCs w:val="0"/>
          <w:color w:val="auto"/>
          <w:sz w:val="20"/>
          <w:szCs w:val="20"/>
          <w:highlight w:val="none"/>
        </w:rPr>
        <w:t>、合同生效及其它</w:t>
      </w:r>
    </w:p>
    <w:p w14:paraId="1286D195">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1</w:t>
      </w:r>
      <w:r>
        <w:rPr>
          <w:rFonts w:hint="eastAsia" w:ascii="宋体" w:hAnsi="宋体" w:cs="宋体"/>
          <w:color w:val="auto"/>
          <w:sz w:val="20"/>
          <w:szCs w:val="20"/>
          <w:highlight w:val="none"/>
          <w:lang w:val="en-US" w:eastAsia="zh-CN"/>
        </w:rPr>
        <w:t>.</w:t>
      </w:r>
      <w:r>
        <w:rPr>
          <w:rFonts w:hint="eastAsia" w:ascii="宋体" w:hAnsi="宋体" w:eastAsia="宋体" w:cs="宋体"/>
          <w:color w:val="auto"/>
          <w:sz w:val="20"/>
          <w:szCs w:val="20"/>
          <w:highlight w:val="none"/>
          <w:lang w:val="zh-CN"/>
        </w:rPr>
        <w:t>本合同一式</w:t>
      </w:r>
      <w:r>
        <w:rPr>
          <w:rFonts w:hint="eastAsia" w:ascii="宋体" w:hAnsi="宋体" w:eastAsia="宋体" w:cs="宋体"/>
          <w:color w:val="auto"/>
          <w:sz w:val="20"/>
          <w:szCs w:val="20"/>
          <w:highlight w:val="none"/>
          <w:u w:val="single"/>
          <w:lang w:val="zh-CN"/>
        </w:rPr>
        <w:t>陆</w:t>
      </w:r>
      <w:r>
        <w:rPr>
          <w:rFonts w:hint="eastAsia" w:ascii="宋体" w:hAnsi="宋体" w:eastAsia="宋体" w:cs="宋体"/>
          <w:color w:val="auto"/>
          <w:sz w:val="20"/>
          <w:szCs w:val="20"/>
          <w:highlight w:val="none"/>
          <w:lang w:val="zh-CN"/>
        </w:rPr>
        <w:t>份，甲方持</w:t>
      </w:r>
      <w:r>
        <w:rPr>
          <w:rFonts w:hint="eastAsia" w:ascii="宋体" w:hAnsi="宋体" w:eastAsia="宋体" w:cs="宋体"/>
          <w:color w:val="auto"/>
          <w:sz w:val="20"/>
          <w:szCs w:val="20"/>
          <w:highlight w:val="none"/>
          <w:u w:val="single"/>
          <w:lang w:val="zh-CN"/>
        </w:rPr>
        <w:t>肆</w:t>
      </w:r>
      <w:r>
        <w:rPr>
          <w:rFonts w:hint="eastAsia" w:ascii="宋体" w:hAnsi="宋体" w:eastAsia="宋体" w:cs="宋体"/>
          <w:color w:val="auto"/>
          <w:sz w:val="20"/>
          <w:szCs w:val="20"/>
          <w:highlight w:val="none"/>
          <w:lang w:val="zh-CN"/>
        </w:rPr>
        <w:t>份，乙方持</w:t>
      </w:r>
      <w:r>
        <w:rPr>
          <w:rFonts w:hint="eastAsia" w:ascii="宋体" w:hAnsi="宋体" w:eastAsia="宋体" w:cs="宋体"/>
          <w:color w:val="auto"/>
          <w:sz w:val="20"/>
          <w:szCs w:val="20"/>
          <w:highlight w:val="none"/>
          <w:u w:val="single"/>
          <w:lang w:val="zh-CN"/>
        </w:rPr>
        <w:t>贰</w:t>
      </w:r>
      <w:r>
        <w:rPr>
          <w:rFonts w:hint="eastAsia" w:ascii="宋体" w:hAnsi="宋体" w:eastAsia="宋体" w:cs="宋体"/>
          <w:color w:val="auto"/>
          <w:sz w:val="20"/>
          <w:szCs w:val="20"/>
          <w:highlight w:val="none"/>
          <w:lang w:val="zh-CN"/>
        </w:rPr>
        <w:t>份，合同执行完毕后，自动失效（合同的服务承诺则长期有效）。</w:t>
      </w:r>
    </w:p>
    <w:p w14:paraId="1077032C">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2</w:t>
      </w:r>
      <w:r>
        <w:rPr>
          <w:rFonts w:hint="eastAsia" w:ascii="宋体" w:hAnsi="宋体" w:cs="宋体"/>
          <w:color w:val="auto"/>
          <w:sz w:val="20"/>
          <w:szCs w:val="20"/>
          <w:highlight w:val="none"/>
          <w:lang w:val="en-US" w:eastAsia="zh-CN"/>
        </w:rPr>
        <w:t>.</w:t>
      </w:r>
      <w:r>
        <w:rPr>
          <w:rFonts w:hint="eastAsia" w:ascii="宋体" w:hAnsi="宋体" w:eastAsia="宋体" w:cs="宋体"/>
          <w:color w:val="auto"/>
          <w:sz w:val="20"/>
          <w:szCs w:val="20"/>
          <w:highlight w:val="none"/>
          <w:lang w:val="zh-CN"/>
        </w:rPr>
        <w:t>合同经甲乙双方法定代表人或授权代表签字并盖公章之日起生效，合同签订地点为</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lang w:val="zh-CN"/>
        </w:rPr>
        <w:t>。</w:t>
      </w:r>
    </w:p>
    <w:p w14:paraId="7E4B9F8C">
      <w:pPr>
        <w:pageBreakBefore w:val="0"/>
        <w:kinsoku/>
        <w:wordWrap/>
        <w:overflowPunct/>
        <w:topLinePunct w:val="0"/>
        <w:autoSpaceDE w:val="0"/>
        <w:autoSpaceDN w:val="0"/>
        <w:bidi w:val="0"/>
        <w:adjustRightIn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3</w:t>
      </w:r>
      <w:r>
        <w:rPr>
          <w:rFonts w:hint="eastAsia" w:ascii="宋体" w:hAnsi="宋体" w:cs="宋体"/>
          <w:color w:val="auto"/>
          <w:sz w:val="20"/>
          <w:szCs w:val="20"/>
          <w:highlight w:val="none"/>
          <w:lang w:val="en-US" w:eastAsia="zh-CN"/>
        </w:rPr>
        <w:t>.竞争性磋商</w:t>
      </w:r>
      <w:r>
        <w:rPr>
          <w:rFonts w:hint="eastAsia" w:ascii="宋体" w:hAnsi="宋体" w:eastAsia="宋体" w:cs="宋体"/>
          <w:color w:val="auto"/>
          <w:sz w:val="20"/>
          <w:szCs w:val="20"/>
          <w:highlight w:val="none"/>
          <w:lang w:val="zh-CN"/>
        </w:rPr>
        <w:t>文件、</w:t>
      </w:r>
      <w:r>
        <w:rPr>
          <w:rFonts w:hint="eastAsia" w:ascii="宋体" w:hAnsi="宋体" w:cs="宋体"/>
          <w:color w:val="auto"/>
          <w:sz w:val="20"/>
          <w:szCs w:val="20"/>
          <w:highlight w:val="none"/>
          <w:lang w:val="en-US" w:eastAsia="zh-CN"/>
        </w:rPr>
        <w:t>竞争性磋商响应</w:t>
      </w:r>
      <w:r>
        <w:rPr>
          <w:rFonts w:hint="eastAsia" w:ascii="宋体" w:hAnsi="宋体" w:eastAsia="宋体" w:cs="宋体"/>
          <w:color w:val="auto"/>
          <w:sz w:val="20"/>
          <w:szCs w:val="20"/>
          <w:highlight w:val="none"/>
          <w:lang w:val="zh-CN"/>
        </w:rPr>
        <w:t>文件、澄清表（函）、成交通知书、合同附件均成为合同不可分割的部分。</w:t>
      </w:r>
    </w:p>
    <w:p w14:paraId="595C8388">
      <w:pPr>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宋体" w:hAnsi="宋体" w:eastAsia="宋体" w:cs="宋体"/>
          <w:color w:val="auto"/>
          <w:sz w:val="20"/>
          <w:szCs w:val="20"/>
          <w:highlight w:val="none"/>
          <w:lang w:val="zh-CN"/>
        </w:rPr>
      </w:pPr>
      <w:r>
        <w:rPr>
          <w:rFonts w:hint="eastAsia" w:ascii="宋体" w:hAnsi="宋体" w:cs="宋体"/>
          <w:color w:val="auto"/>
          <w:sz w:val="20"/>
          <w:szCs w:val="20"/>
          <w:highlight w:val="none"/>
          <w:lang w:val="en-US" w:eastAsia="zh-CN"/>
        </w:rPr>
        <w:t>4.</w:t>
      </w:r>
      <w:r>
        <w:rPr>
          <w:rFonts w:hint="eastAsia" w:ascii="宋体" w:hAnsi="宋体" w:eastAsia="宋体" w:cs="宋体"/>
          <w:color w:val="auto"/>
          <w:sz w:val="20"/>
          <w:szCs w:val="20"/>
          <w:highlight w:val="none"/>
          <w:lang w:val="zh-CN"/>
        </w:rPr>
        <w:t>合同未尽事宜，由甲、乙双方协商，作为合同补充，与原合同具有同等法律效力。</w:t>
      </w:r>
    </w:p>
    <w:p w14:paraId="5CD21152">
      <w:pPr>
        <w:pStyle w:val="8"/>
        <w:pageBreakBefore w:val="0"/>
        <w:kinsoku/>
        <w:wordWrap/>
        <w:overflowPunct/>
        <w:topLinePunct w:val="0"/>
        <w:bidi w:val="0"/>
        <w:spacing w:line="36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cs="宋体"/>
          <w:color w:val="auto"/>
          <w:sz w:val="20"/>
          <w:szCs w:val="20"/>
          <w:highlight w:val="none"/>
          <w:lang w:val="en-US" w:eastAsia="zh-CN"/>
        </w:rPr>
        <w:t>5.</w:t>
      </w:r>
      <w:r>
        <w:rPr>
          <w:rFonts w:hint="eastAsia" w:ascii="宋体" w:hAnsi="宋体" w:eastAsia="宋体" w:cs="宋体"/>
          <w:color w:val="auto"/>
          <w:sz w:val="20"/>
          <w:szCs w:val="20"/>
          <w:highlight w:val="none"/>
        </w:rPr>
        <w:t>甲方、乙方双方确认本合同尾部写明的地址和方式作为本合同下通知事项以及所涉债务/义务的催收和诉讼（仲裁）文书（包括但不限于起诉状（或仲裁申请书）及证据、传票、应诉通知书、举证通知书、开庭通知书、判决书（裁决书）、裁定书、调解书、执行通知书、限期履行通知书等诉讼审理以及执行阶段法律司法文书）送达地址和送达方式。</w:t>
      </w:r>
    </w:p>
    <w:p w14:paraId="1FFD7D90">
      <w:pPr>
        <w:pStyle w:val="8"/>
        <w:pageBreakBefore w:val="0"/>
        <w:kinsoku/>
        <w:wordWrap/>
        <w:overflowPunct/>
        <w:topLinePunct w:val="0"/>
        <w:bidi w:val="0"/>
        <w:spacing w:line="36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上述法律文书以本合同写明的任一方式送达到上述任一地址，均视为送达（指定代收人送达视为送达）。如上述送达地址和方式有变更的，一方应当提前十个工作日以书面方式通知另一方，因一方提供地址错误或未及时向其另一方进行地址变更通知而引起送达不能或引起的退函视为送达。</w:t>
      </w:r>
    </w:p>
    <w:p w14:paraId="14B65372">
      <w:pPr>
        <w:pStyle w:val="8"/>
        <w:pageBreakBefore w:val="0"/>
        <w:kinsoku/>
        <w:wordWrap/>
        <w:overflowPunct/>
        <w:topLinePunct w:val="0"/>
        <w:bidi w:val="0"/>
        <w:spacing w:line="360" w:lineRule="auto"/>
        <w:ind w:firstLine="400" w:firstLineChars="200"/>
        <w:textAlignment w:val="auto"/>
        <w:rPr>
          <w:rFonts w:hint="eastAsia" w:ascii="宋体" w:hAnsi="宋体" w:eastAsia="宋体" w:cs="宋体"/>
          <w:color w:val="auto"/>
          <w:sz w:val="20"/>
          <w:szCs w:val="20"/>
          <w:highlight w:val="none"/>
        </w:rPr>
        <w:sectPr>
          <w:footerReference r:id="rId4" w:type="first"/>
          <w:footerReference r:id="rId3" w:type="default"/>
          <w:pgSz w:w="12240" w:h="15840"/>
          <w:pgMar w:top="1440" w:right="1797" w:bottom="1418" w:left="1797" w:header="720" w:footer="720" w:gutter="0"/>
          <w:pgNumType w:fmt="decimal"/>
          <w:cols w:space="720" w:num="1"/>
          <w:titlePg/>
          <w:docGrid w:type="lines" w:linePitch="312" w:charSpace="0"/>
        </w:sectPr>
      </w:pPr>
      <w:r>
        <w:rPr>
          <w:rFonts w:hint="eastAsia" w:ascii="宋体" w:hAnsi="宋体" w:eastAsia="宋体" w:cs="宋体"/>
          <w:color w:val="auto"/>
          <w:sz w:val="20"/>
          <w:szCs w:val="20"/>
          <w:highlight w:val="none"/>
        </w:rPr>
        <w:t>（以下无正文）</w:t>
      </w:r>
    </w:p>
    <w:tbl>
      <w:tblPr>
        <w:tblStyle w:val="10"/>
        <w:tblW w:w="0" w:type="auto"/>
        <w:jc w:val="center"/>
        <w:tblLayout w:type="fixed"/>
        <w:tblCellMar>
          <w:top w:w="0" w:type="dxa"/>
          <w:left w:w="108" w:type="dxa"/>
          <w:bottom w:w="0" w:type="dxa"/>
          <w:right w:w="108" w:type="dxa"/>
        </w:tblCellMar>
      </w:tblPr>
      <w:tblGrid>
        <w:gridCol w:w="4201"/>
        <w:gridCol w:w="4202"/>
      </w:tblGrid>
      <w:tr w14:paraId="06735FE9">
        <w:tblPrEx>
          <w:tblCellMar>
            <w:top w:w="0" w:type="dxa"/>
            <w:left w:w="108" w:type="dxa"/>
            <w:bottom w:w="0" w:type="dxa"/>
            <w:right w:w="108" w:type="dxa"/>
          </w:tblCellMar>
        </w:tblPrEx>
        <w:trPr>
          <w:trHeight w:val="680" w:hRule="exact"/>
          <w:jc w:val="center"/>
        </w:trPr>
        <w:tc>
          <w:tcPr>
            <w:tcW w:w="4201" w:type="dxa"/>
            <w:noWrap w:val="0"/>
            <w:vAlign w:val="center"/>
          </w:tcPr>
          <w:p w14:paraId="4572ECE3">
            <w:pPr>
              <w:autoSpaceDE w:val="0"/>
              <w:autoSpaceDN w:val="0"/>
              <w:adjustRightInd w:val="0"/>
              <w:spacing w:line="360" w:lineRule="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甲  方</w:t>
            </w:r>
          </w:p>
        </w:tc>
        <w:tc>
          <w:tcPr>
            <w:tcW w:w="4202" w:type="dxa"/>
            <w:noWrap w:val="0"/>
            <w:vAlign w:val="center"/>
          </w:tcPr>
          <w:p w14:paraId="3A33E65F">
            <w:pPr>
              <w:autoSpaceDE w:val="0"/>
              <w:autoSpaceDN w:val="0"/>
              <w:adjustRightInd w:val="0"/>
              <w:spacing w:line="360" w:lineRule="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乙  方</w:t>
            </w:r>
          </w:p>
        </w:tc>
      </w:tr>
      <w:tr w14:paraId="0D0BC616">
        <w:tblPrEx>
          <w:tblCellMar>
            <w:top w:w="0" w:type="dxa"/>
            <w:left w:w="108" w:type="dxa"/>
            <w:bottom w:w="0" w:type="dxa"/>
            <w:right w:w="108" w:type="dxa"/>
          </w:tblCellMar>
        </w:tblPrEx>
        <w:trPr>
          <w:trHeight w:val="680" w:hRule="exact"/>
          <w:jc w:val="center"/>
        </w:trPr>
        <w:tc>
          <w:tcPr>
            <w:tcW w:w="4201" w:type="dxa"/>
            <w:noWrap w:val="0"/>
            <w:vAlign w:val="center"/>
          </w:tcPr>
          <w:p w14:paraId="757D0DBD">
            <w:pPr>
              <w:autoSpaceDE w:val="0"/>
              <w:autoSpaceDN w:val="0"/>
              <w:adjustRightInd w:val="0"/>
              <w:spacing w:line="360" w:lineRule="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（盖章）</w:t>
            </w:r>
          </w:p>
        </w:tc>
        <w:tc>
          <w:tcPr>
            <w:tcW w:w="4202" w:type="dxa"/>
            <w:noWrap w:val="0"/>
            <w:vAlign w:val="center"/>
          </w:tcPr>
          <w:p w14:paraId="50BD0B5A">
            <w:pPr>
              <w:autoSpaceDE w:val="0"/>
              <w:autoSpaceDN w:val="0"/>
              <w:adjustRightInd w:val="0"/>
              <w:spacing w:line="360" w:lineRule="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（盖章）</w:t>
            </w:r>
          </w:p>
        </w:tc>
      </w:tr>
      <w:tr w14:paraId="4F2C78C2">
        <w:tblPrEx>
          <w:tblCellMar>
            <w:top w:w="0" w:type="dxa"/>
            <w:left w:w="108" w:type="dxa"/>
            <w:bottom w:w="0" w:type="dxa"/>
            <w:right w:w="108" w:type="dxa"/>
          </w:tblCellMar>
        </w:tblPrEx>
        <w:trPr>
          <w:trHeight w:val="680" w:hRule="exact"/>
          <w:jc w:val="center"/>
        </w:trPr>
        <w:tc>
          <w:tcPr>
            <w:tcW w:w="4201" w:type="dxa"/>
            <w:noWrap w:val="0"/>
            <w:vAlign w:val="center"/>
          </w:tcPr>
          <w:p w14:paraId="2B86305E">
            <w:pPr>
              <w:autoSpaceDE w:val="0"/>
              <w:autoSpaceDN w:val="0"/>
              <w:adjustRightInd w:val="0"/>
              <w:spacing w:line="360" w:lineRule="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 xml:space="preserve">地址： </w:t>
            </w:r>
          </w:p>
        </w:tc>
        <w:tc>
          <w:tcPr>
            <w:tcW w:w="4202" w:type="dxa"/>
            <w:noWrap w:val="0"/>
            <w:vAlign w:val="center"/>
          </w:tcPr>
          <w:p w14:paraId="67CA787B">
            <w:pPr>
              <w:autoSpaceDE w:val="0"/>
              <w:autoSpaceDN w:val="0"/>
              <w:adjustRightInd w:val="0"/>
              <w:spacing w:line="360" w:lineRule="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地址：</w:t>
            </w:r>
          </w:p>
        </w:tc>
      </w:tr>
      <w:tr w14:paraId="4D038DB0">
        <w:tblPrEx>
          <w:tblCellMar>
            <w:top w:w="0" w:type="dxa"/>
            <w:left w:w="108" w:type="dxa"/>
            <w:bottom w:w="0" w:type="dxa"/>
            <w:right w:w="108" w:type="dxa"/>
          </w:tblCellMar>
        </w:tblPrEx>
        <w:trPr>
          <w:trHeight w:val="680" w:hRule="exact"/>
          <w:jc w:val="center"/>
        </w:trPr>
        <w:tc>
          <w:tcPr>
            <w:tcW w:w="4201" w:type="dxa"/>
            <w:noWrap w:val="0"/>
            <w:vAlign w:val="center"/>
          </w:tcPr>
          <w:p w14:paraId="6C2DA4CE">
            <w:pPr>
              <w:autoSpaceDE w:val="0"/>
              <w:autoSpaceDN w:val="0"/>
              <w:adjustRightInd w:val="0"/>
              <w:spacing w:line="360" w:lineRule="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 xml:space="preserve">法定代表人： </w:t>
            </w:r>
          </w:p>
        </w:tc>
        <w:tc>
          <w:tcPr>
            <w:tcW w:w="4202" w:type="dxa"/>
            <w:noWrap w:val="0"/>
            <w:vAlign w:val="center"/>
          </w:tcPr>
          <w:p w14:paraId="3329801A">
            <w:pPr>
              <w:autoSpaceDE w:val="0"/>
              <w:autoSpaceDN w:val="0"/>
              <w:adjustRightInd w:val="0"/>
              <w:spacing w:line="360" w:lineRule="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法定代表人：</w:t>
            </w:r>
          </w:p>
        </w:tc>
      </w:tr>
      <w:tr w14:paraId="6FF060B1">
        <w:tblPrEx>
          <w:tblCellMar>
            <w:top w:w="0" w:type="dxa"/>
            <w:left w:w="108" w:type="dxa"/>
            <w:bottom w:w="0" w:type="dxa"/>
            <w:right w:w="108" w:type="dxa"/>
          </w:tblCellMar>
        </w:tblPrEx>
        <w:trPr>
          <w:trHeight w:val="680" w:hRule="exact"/>
          <w:jc w:val="center"/>
        </w:trPr>
        <w:tc>
          <w:tcPr>
            <w:tcW w:w="4201" w:type="dxa"/>
            <w:noWrap w:val="0"/>
            <w:vAlign w:val="center"/>
          </w:tcPr>
          <w:p w14:paraId="0CA3AE82">
            <w:pPr>
              <w:autoSpaceDE w:val="0"/>
              <w:autoSpaceDN w:val="0"/>
              <w:adjustRightInd w:val="0"/>
              <w:spacing w:line="360" w:lineRule="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被授权代表：</w:t>
            </w:r>
          </w:p>
        </w:tc>
        <w:tc>
          <w:tcPr>
            <w:tcW w:w="4202" w:type="dxa"/>
            <w:noWrap w:val="0"/>
            <w:vAlign w:val="center"/>
          </w:tcPr>
          <w:p w14:paraId="7964A45B">
            <w:pPr>
              <w:autoSpaceDE w:val="0"/>
              <w:autoSpaceDN w:val="0"/>
              <w:adjustRightInd w:val="0"/>
              <w:spacing w:line="360" w:lineRule="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被授权代表：</w:t>
            </w:r>
          </w:p>
        </w:tc>
      </w:tr>
      <w:tr w14:paraId="0CFFD4A6">
        <w:tblPrEx>
          <w:tblCellMar>
            <w:top w:w="0" w:type="dxa"/>
            <w:left w:w="108" w:type="dxa"/>
            <w:bottom w:w="0" w:type="dxa"/>
            <w:right w:w="108" w:type="dxa"/>
          </w:tblCellMar>
        </w:tblPrEx>
        <w:trPr>
          <w:trHeight w:val="680" w:hRule="exact"/>
          <w:jc w:val="center"/>
        </w:trPr>
        <w:tc>
          <w:tcPr>
            <w:tcW w:w="4201" w:type="dxa"/>
            <w:noWrap w:val="0"/>
            <w:vAlign w:val="center"/>
          </w:tcPr>
          <w:p w14:paraId="60A9D9DC">
            <w:pPr>
              <w:autoSpaceDE w:val="0"/>
              <w:autoSpaceDN w:val="0"/>
              <w:adjustRightInd w:val="0"/>
              <w:spacing w:line="360" w:lineRule="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电话：</w:t>
            </w:r>
          </w:p>
        </w:tc>
        <w:tc>
          <w:tcPr>
            <w:tcW w:w="4202" w:type="dxa"/>
            <w:noWrap w:val="0"/>
            <w:vAlign w:val="center"/>
          </w:tcPr>
          <w:p w14:paraId="346713B7">
            <w:pPr>
              <w:autoSpaceDE w:val="0"/>
              <w:autoSpaceDN w:val="0"/>
              <w:adjustRightInd w:val="0"/>
              <w:spacing w:line="360" w:lineRule="auto"/>
              <w:ind w:left="540" w:hanging="480" w:hangingChars="300"/>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电话：</w:t>
            </w:r>
          </w:p>
        </w:tc>
      </w:tr>
      <w:tr w14:paraId="5E1BC6B7">
        <w:tblPrEx>
          <w:tblCellMar>
            <w:top w:w="0" w:type="dxa"/>
            <w:left w:w="108" w:type="dxa"/>
            <w:bottom w:w="0" w:type="dxa"/>
            <w:right w:w="108" w:type="dxa"/>
          </w:tblCellMar>
        </w:tblPrEx>
        <w:trPr>
          <w:trHeight w:val="680" w:hRule="exact"/>
          <w:jc w:val="center"/>
        </w:trPr>
        <w:tc>
          <w:tcPr>
            <w:tcW w:w="4201" w:type="dxa"/>
            <w:noWrap w:val="0"/>
            <w:vAlign w:val="center"/>
          </w:tcPr>
          <w:p w14:paraId="5A84B8F3">
            <w:pPr>
              <w:autoSpaceDE w:val="0"/>
              <w:autoSpaceDN w:val="0"/>
              <w:adjustRightInd w:val="0"/>
              <w:spacing w:line="360" w:lineRule="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日期：</w:t>
            </w:r>
          </w:p>
        </w:tc>
        <w:tc>
          <w:tcPr>
            <w:tcW w:w="4202" w:type="dxa"/>
            <w:noWrap w:val="0"/>
            <w:vAlign w:val="center"/>
          </w:tcPr>
          <w:p w14:paraId="140EAEB9">
            <w:pPr>
              <w:autoSpaceDE w:val="0"/>
              <w:autoSpaceDN w:val="0"/>
              <w:adjustRightInd w:val="0"/>
              <w:spacing w:line="360" w:lineRule="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日期：</w:t>
            </w:r>
          </w:p>
        </w:tc>
      </w:tr>
    </w:tbl>
    <w:p w14:paraId="14D2A167">
      <w:pPr>
        <w:pStyle w:val="12"/>
        <w:rPr>
          <w:rFonts w:hint="eastAsia" w:ascii="宋体" w:hAnsi="宋体" w:eastAsia="宋体" w:cs="宋体"/>
          <w:color w:val="auto"/>
          <w:highlight w:val="none"/>
          <w:lang w:val="en-US" w:eastAsia="zh-Hans"/>
        </w:rPr>
      </w:pPr>
    </w:p>
    <w:p w14:paraId="1203DEC9"/>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739EB">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AB0CA4">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03AB0CA4">
                    <w:pPr>
                      <w:pStyle w:val="8"/>
                    </w:pPr>
                    <w:r>
                      <w:fldChar w:fldCharType="begin"/>
                    </w:r>
                    <w:r>
                      <w:instrText xml:space="preserve"> PAGE  \* MERGEFORMAT </w:instrText>
                    </w:r>
                    <w:r>
                      <w:fldChar w:fldCharType="separate"/>
                    </w:r>
                    <w:r>
                      <w:t>2</w:t>
                    </w:r>
                    <w:r>
                      <w:fldChar w:fldCharType="end"/>
                    </w:r>
                  </w:p>
                </w:txbxContent>
              </v:textbox>
            </v:shape>
          </w:pict>
        </mc:Fallback>
      </mc:AlternateContent>
    </w:r>
  </w:p>
  <w:p w14:paraId="3C2B17F3">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50633E">
    <w:pPr>
      <w:pStyle w:val="8"/>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8C7CE8">
                          <w:pPr>
                            <w:pStyle w:val="8"/>
                          </w:pPr>
                          <w:r>
                            <w:fldChar w:fldCharType="begin"/>
                          </w:r>
                          <w:r>
                            <w:instrText xml:space="preserve"> PAGE  \* MERGEFORMAT </w:instrText>
                          </w:r>
                          <w:r>
                            <w:fldChar w:fldCharType="separate"/>
                          </w:r>
                          <w:r>
                            <w:t>61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548C7CE8">
                    <w:pPr>
                      <w:pStyle w:val="8"/>
                    </w:pPr>
                    <w:r>
                      <w:fldChar w:fldCharType="begin"/>
                    </w:r>
                    <w:r>
                      <w:instrText xml:space="preserve"> PAGE  \* MERGEFORMAT </w:instrText>
                    </w:r>
                    <w:r>
                      <w:fldChar w:fldCharType="separate"/>
                    </w:r>
                    <w:r>
                      <w:t>61</w:t>
                    </w:r>
                    <w:r>
                      <w:fldChar w:fldCharType="end"/>
                    </w:r>
                  </w:p>
                </w:txbxContent>
              </v:textbox>
            </v:shape>
          </w:pict>
        </mc:Fallback>
      </mc:AlternateContent>
    </w:r>
  </w:p>
  <w:p w14:paraId="607DD997">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6AB1DA">
    <w:pPr>
      <w:pStyle w:val="8"/>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D95F2F">
                          <w:pPr>
                            <w:pStyle w:val="8"/>
                          </w:pPr>
                          <w:r>
                            <w:fldChar w:fldCharType="begin"/>
                          </w:r>
                          <w:r>
                            <w:instrText xml:space="preserve"> PAGE  \* MERGEFORMAT </w:instrText>
                          </w:r>
                          <w:r>
                            <w:fldChar w:fldCharType="separate"/>
                          </w:r>
                          <w:r>
                            <w:t>67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59D95F2F">
                    <w:pPr>
                      <w:pStyle w:val="8"/>
                    </w:pPr>
                    <w:r>
                      <w:fldChar w:fldCharType="begin"/>
                    </w:r>
                    <w:r>
                      <w:instrText xml:space="preserve"> PAGE  \* MERGEFORMAT </w:instrText>
                    </w:r>
                    <w:r>
                      <w:fldChar w:fldCharType="separate"/>
                    </w:r>
                    <w:r>
                      <w:t>67</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135E4"/>
    <w:rsid w:val="0FEA5C17"/>
    <w:rsid w:val="222B26BE"/>
    <w:rsid w:val="53891C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4">
    <w:name w:val="Body Text"/>
    <w:basedOn w:val="1"/>
    <w:next w:val="5"/>
    <w:qFormat/>
    <w:uiPriority w:val="0"/>
    <w:pPr>
      <w:spacing w:after="120" w:afterLines="0"/>
    </w:pPr>
    <w:rPr>
      <w:rFonts w:ascii="Times New Roman"/>
      <w:kern w:val="2"/>
      <w:sz w:val="21"/>
    </w:rPr>
  </w:style>
  <w:style w:type="paragraph" w:styleId="5">
    <w:name w:val="Body Text First Indent"/>
    <w:basedOn w:val="4"/>
    <w:next w:val="4"/>
    <w:qFormat/>
    <w:uiPriority w:val="0"/>
    <w:pPr>
      <w:spacing w:after="120"/>
      <w:ind w:firstLine="420" w:firstLineChars="100"/>
      <w:jc w:val="both"/>
    </w:pPr>
    <w:rPr>
      <w:sz w:val="21"/>
    </w:rPr>
  </w:style>
  <w:style w:type="paragraph" w:styleId="6">
    <w:name w:val="Body Text Indent"/>
    <w:basedOn w:val="1"/>
    <w:next w:val="7"/>
    <w:qFormat/>
    <w:uiPriority w:val="0"/>
    <w:pPr>
      <w:spacing w:line="200" w:lineRule="atLeast"/>
      <w:ind w:firstLine="301"/>
    </w:pPr>
    <w:rPr>
      <w:rFonts w:ascii="宋体" w:hAnsi="Courier New"/>
      <w:spacing w:val="-4"/>
      <w:kern w:val="0"/>
      <w:sz w:val="18"/>
      <w:szCs w:val="20"/>
    </w:rPr>
  </w:style>
  <w:style w:type="paragraph" w:styleId="7">
    <w:name w:val="footnote text"/>
    <w:qFormat/>
    <w:uiPriority w:val="0"/>
    <w:pPr>
      <w:widowControl w:val="0"/>
    </w:pPr>
    <w:rPr>
      <w:rFonts w:ascii="Times New Roman" w:hAnsi="Times New Roman" w:eastAsia="PMingLiU" w:cs="Arial"/>
      <w:color w:val="000000"/>
      <w:kern w:val="2"/>
      <w:sz w:val="18"/>
      <w:szCs w:val="24"/>
      <w:lang w:val="en-US" w:eastAsia="zh-CN" w:bidi="ar-SA"/>
    </w:rPr>
  </w:style>
  <w:style w:type="paragraph" w:styleId="8">
    <w:name w:val="footer"/>
    <w:basedOn w:val="1"/>
    <w:qFormat/>
    <w:uiPriority w:val="99"/>
    <w:pPr>
      <w:tabs>
        <w:tab w:val="center" w:pos="4153"/>
        <w:tab w:val="right" w:pos="8306"/>
      </w:tabs>
      <w:snapToGrid w:val="0"/>
      <w:jc w:val="left"/>
    </w:pPr>
    <w:rPr>
      <w:rFonts w:ascii="Times New Roman"/>
      <w:kern w:val="2"/>
      <w:sz w:val="18"/>
      <w:szCs w:val="18"/>
    </w:rPr>
  </w:style>
  <w:style w:type="paragraph" w:styleId="9">
    <w:name w:val="Body Text First Indent 2"/>
    <w:basedOn w:val="6"/>
    <w:next w:val="5"/>
    <w:unhideWhenUsed/>
    <w:qFormat/>
    <w:uiPriority w:val="99"/>
    <w:pPr>
      <w:spacing w:after="120" w:line="240" w:lineRule="auto"/>
      <w:ind w:left="420" w:leftChars="200" w:firstLine="420" w:firstLineChars="200"/>
    </w:pPr>
    <w:rPr>
      <w:rFonts w:ascii="Times New Roman" w:hAnsi="Times New Roman"/>
      <w:kern w:val="2"/>
      <w:sz w:val="28"/>
      <w:szCs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4238</Words>
  <Characters>4346</Characters>
  <Lines>0</Lines>
  <Paragraphs>0</Paragraphs>
  <TotalTime>0</TotalTime>
  <ScaleCrop>false</ScaleCrop>
  <LinksUpToDate>false</LinksUpToDate>
  <CharactersWithSpaces>4518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2024-12-20T14:01:00Z</dcterms:created>
  <dc:creator>13983</dc:creator>
  <cp:lastModifiedBy>王龙飞</cp:lastModifiedBy>
  <dcterms:modified xsi:type="dcterms:W3CDTF">2025-08-12T07:38:50Z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FEE3E209C9CE407D9EF762518D3300EA_12</vt:lpwstr>
  </property>
  <property fmtid="{D5CDD505-2E9C-101B-9397-08002B2CF9AE}" pid="4" name="KSOTemplateDocerSaveRecord">
    <vt:lpwstr>eyJoZGlkIjoiNmYwZmE4NTMxZjk3NmFlMGFlNjMwNTljNzNjMTUxN2IiLCJ1c2VySWQiOiI2MzU2MzM5MTIifQ==</vt:lpwstr>
  </property>
</Properties>
</file>