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版本号：HYZB2025002920250818001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未成年人关爱保护服务项目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HYZB20250029</w:t>
      </w:r>
      <w:r>
        <w:br/>
      </w:r>
      <w:r>
        <w:br/>
      </w:r>
      <w:r>
        <w:br/>
      </w:r>
    </w:p>
    <w:p>
      <w:pPr>
        <w:pStyle w:val="null3"/>
        <w:jc w:val="center"/>
        <w:outlineLvl w:val="2"/>
      </w:pPr>
      <w:r>
        <w:rPr>
          <w:rFonts w:ascii="仿宋_GB2312" w:hAnsi="仿宋_GB2312" w:cs="仿宋_GB2312" w:eastAsia="仿宋_GB2312"/>
          <w:sz w:val="28"/>
          <w:b/>
        </w:rPr>
        <w:t>西安市临潼区救助管理站</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西安市临潼区救助管理站</w:t>
      </w:r>
      <w:r>
        <w:rPr>
          <w:rFonts w:ascii="仿宋_GB2312" w:hAnsi="仿宋_GB2312" w:cs="仿宋_GB2312" w:eastAsia="仿宋_GB2312"/>
        </w:rPr>
        <w:t>委托，拟对</w:t>
      </w:r>
      <w:r>
        <w:rPr>
          <w:rFonts w:ascii="仿宋_GB2312" w:hAnsi="仿宋_GB2312" w:cs="仿宋_GB2312" w:eastAsia="仿宋_GB2312"/>
        </w:rPr>
        <w:t>未成年人关爱保护服务项目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未成年人关爱保护服务项目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为困境儿童开展多元化关爱活动。入户走访，风险评估，建立档案，监护教育指导等。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采购包1（未成年人关爱保护服务项目）：属于专门面向中小企业采购。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临潼区北关社区一小巷10号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临潼区救助管理站经办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029-83873573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西安市临潼区救助管理站</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为困境儿童开展多元化关爱活动。入户走访，风险评估，建立档案，监护教育指导等。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367,100.00</w:t>
      </w:r>
    </w:p>
    <w:p>
      <w:pPr>
        <w:pStyle w:val="null3"/>
      </w:pPr>
      <w:r>
        <w:rPr>
          <w:rFonts w:ascii="仿宋_GB2312" w:hAnsi="仿宋_GB2312" w:cs="仿宋_GB2312" w:eastAsia="仿宋_GB2312"/>
        </w:rPr>
        <w:t>采购包最高限价（元）: 367,100.00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未成年人关爱保护服务项目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标的名称：未成年人关爱保护服务项目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1.开展区域内事实无人抚养儿童、困境留守儿童等信息摸底排查、登记建档工作，</w:t>
            </w:r>
            <w:r>
              <w:rPr>
                <w:rFonts w:ascii="仿宋_GB2312" w:hAnsi="仿宋_GB2312" w:cs="仿宋_GB2312" w:eastAsia="仿宋_GB2312"/>
                <w:sz w:val="24"/>
              </w:rPr>
              <w:t>了解</w:t>
            </w:r>
            <w:r>
              <w:rPr>
                <w:rFonts w:ascii="仿宋_GB2312" w:hAnsi="仿宋_GB2312" w:cs="仿宋_GB2312" w:eastAsia="仿宋_GB2312"/>
                <w:sz w:val="24"/>
              </w:rPr>
              <w:t>儿童的生活学习、家庭结构、监护状况、支持系统、心理动态、朋辈关系情况，建立一人一档、动态更新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2.对散居孤儿、事实无人抚养儿童及高风险困境</w:t>
            </w:r>
            <w:r>
              <w:rPr>
                <w:rFonts w:ascii="仿宋_GB2312" w:hAnsi="仿宋_GB2312" w:cs="仿宋_GB2312" w:eastAsia="仿宋_GB2312"/>
                <w:sz w:val="24"/>
              </w:rPr>
              <w:t>儿童</w:t>
            </w:r>
            <w:r>
              <w:rPr>
                <w:rFonts w:ascii="仿宋_GB2312" w:hAnsi="仿宋_GB2312" w:cs="仿宋_GB2312" w:eastAsia="仿宋_GB2312"/>
                <w:sz w:val="24"/>
              </w:rPr>
              <w:t>开展家庭监护评估、亲职辅导、心理关爱等跟进服务，</w:t>
            </w:r>
            <w:r>
              <w:rPr>
                <w:rFonts w:ascii="仿宋_GB2312" w:hAnsi="仿宋_GB2312" w:cs="仿宋_GB2312" w:eastAsia="仿宋_GB2312"/>
                <w:sz w:val="24"/>
              </w:rPr>
              <w:t>与儿童及实际监护人建立专业关系，选取</w:t>
            </w:r>
            <w:r>
              <w:rPr>
                <w:rFonts w:ascii="仿宋_GB2312" w:hAnsi="仿宋_GB2312" w:cs="仿宋_GB2312" w:eastAsia="仿宋_GB2312"/>
                <w:sz w:val="24"/>
              </w:rPr>
              <w:t>1-3名重点儿童进行个案服</w:t>
            </w:r>
            <w:r>
              <w:rPr>
                <w:rFonts w:ascii="仿宋_GB2312" w:hAnsi="仿宋_GB2312" w:cs="仿宋_GB2312" w:eastAsia="仿宋_GB2312"/>
                <w:sz w:val="24"/>
              </w:rPr>
              <w:t>务，为困境儿童及其家庭提供情感陪伴、社会融入、学业引导、成长教育、情感抚慰、政策宣传等服务，满足儿童个性化需求，促进儿童全面发展，提升其社会化水平。</w:t>
            </w:r>
          </w:p>
          <w:p>
            <w:pPr>
              <w:pStyle w:val="null3"/>
              <w:ind w:firstLine="480"/>
              <w:jc w:val="both"/>
            </w:pPr>
            <w:r>
              <w:rPr>
                <w:rFonts w:ascii="仿宋_GB2312" w:hAnsi="仿宋_GB2312" w:cs="仿宋_GB2312" w:eastAsia="仿宋_GB2312"/>
                <w:sz w:val="24"/>
              </w:rPr>
              <w:t>3.针对高危及上报儿童进行实地走访开展转介评估服务，做到部门联动、紧急干预，协调推进监护评估、个案会商、服务转介、精神关怀等服务。</w:t>
            </w:r>
          </w:p>
          <w:p>
            <w:pPr>
              <w:pStyle w:val="null3"/>
              <w:ind w:firstLine="480"/>
              <w:jc w:val="both"/>
            </w:pPr>
            <w:r>
              <w:rPr>
                <w:rFonts w:ascii="仿宋_GB2312" w:hAnsi="仿宋_GB2312" w:cs="仿宋_GB2312" w:eastAsia="仿宋_GB2312"/>
                <w:sz w:val="24"/>
              </w:rPr>
              <w:t>3.开展困境未成年人社会融入及团体心理辅导活动，帮助儿童提升自我保护意识及人际交往能力，重塑自信、健康快乐成长，</w:t>
            </w:r>
            <w:r>
              <w:rPr>
                <w:rFonts w:ascii="仿宋_GB2312" w:hAnsi="仿宋_GB2312" w:cs="仿宋_GB2312" w:eastAsia="仿宋_GB2312"/>
                <w:sz w:val="24"/>
              </w:rPr>
              <w:t>计划共开展</w:t>
            </w:r>
            <w:r>
              <w:rPr>
                <w:rFonts w:ascii="仿宋_GB2312" w:hAnsi="仿宋_GB2312" w:cs="仿宋_GB2312" w:eastAsia="仿宋_GB2312"/>
                <w:sz w:val="24"/>
              </w:rPr>
              <w:t>10场主题活动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4.协助区未成年人保护中心实体化运行，开展常态化救助关爱工作，规范相关工作流程，依法对危机未成年人实行救助保护，承担临时监护责任。</w:t>
            </w:r>
          </w:p>
          <w:p>
            <w:pPr>
              <w:pStyle w:val="null3"/>
              <w:ind w:firstLine="480"/>
              <w:jc w:val="both"/>
            </w:pPr>
            <w:r>
              <w:rPr>
                <w:rFonts w:ascii="仿宋_GB2312" w:hAnsi="仿宋_GB2312" w:cs="仿宋_GB2312" w:eastAsia="仿宋_GB2312"/>
                <w:sz w:val="24"/>
              </w:rPr>
              <w:t>5.协助开展未成年人保护及儿童福利政策法规宣传，</w:t>
            </w:r>
            <w:r>
              <w:rPr>
                <w:rFonts w:ascii="仿宋_GB2312" w:hAnsi="仿宋_GB2312" w:cs="仿宋_GB2312" w:eastAsia="仿宋_GB2312"/>
                <w:sz w:val="24"/>
              </w:rPr>
              <w:t>推动并提升公众对未成年人</w:t>
            </w:r>
            <w:r>
              <w:rPr>
                <w:rFonts w:ascii="仿宋_GB2312" w:hAnsi="仿宋_GB2312" w:cs="仿宋_GB2312" w:eastAsia="仿宋_GB2312"/>
                <w:sz w:val="24"/>
              </w:rPr>
              <w:t>的关注</w:t>
            </w:r>
            <w:r>
              <w:rPr>
                <w:rFonts w:ascii="仿宋_GB2312" w:hAnsi="仿宋_GB2312" w:cs="仿宋_GB2312" w:eastAsia="仿宋_GB2312"/>
                <w:sz w:val="24"/>
              </w:rPr>
              <w:t>关爱，</w:t>
            </w:r>
            <w:r>
              <w:rPr>
                <w:rFonts w:ascii="仿宋_GB2312" w:hAnsi="仿宋_GB2312" w:cs="仿宋_GB2312" w:eastAsia="仿宋_GB2312"/>
                <w:sz w:val="24"/>
              </w:rPr>
              <w:t>营造关爱保护未成年人的良好氛围，</w:t>
            </w:r>
            <w:r>
              <w:rPr>
                <w:rFonts w:ascii="仿宋_GB2312" w:hAnsi="仿宋_GB2312" w:cs="仿宋_GB2312" w:eastAsia="仿宋_GB2312"/>
                <w:sz w:val="24"/>
              </w:rPr>
              <w:t>全年完成不少于</w:t>
            </w:r>
            <w:r>
              <w:rPr>
                <w:rFonts w:ascii="仿宋_GB2312" w:hAnsi="仿宋_GB2312" w:cs="仿宋_GB2312" w:eastAsia="仿宋_GB2312"/>
                <w:sz w:val="24"/>
              </w:rPr>
              <w:t>10篇的新闻报道，其中外部权威媒体报道不少于2篇。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绩效考核结束后，根据第1次和第2次考核结果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 或不能满足技术要求，采购人有权终止合同，并对成交单位违约行为进行追究。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项目业绩表.docx 中小企业声明函 管理制度方案.docx 服务承诺.docx 项目人员.docx 报价表 资格证明文件.docx 供应商能力.docx 响应文件封面 工作重点、难点及其解决措施.docx 残疾人福利性单位声明函 技术和商务偏离表.docx 标的清单 应急措施.docx 响应函 拟投入社工人员的培训计划.docx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工作重点、难点及其解决措施</w:t>
            </w:r>
          </w:p>
        </w:tc>
        <w:tc>
          <w:tcPr>
            <w:tcW w:type="dxa" w:w="2492"/>
          </w:tcPr>
          <w:p>
            <w:pPr>
              <w:pStyle w:val="null3"/>
            </w:pPr>
            <w:r>
              <w:rPr>
                <w:rFonts w:ascii="仿宋_GB2312" w:hAnsi="仿宋_GB2312" w:cs="仿宋_GB2312" w:eastAsia="仿宋_GB2312"/>
              </w:rPr>
              <w:t>提供本项目工作重点、难点及其解决措施方案，工作重点、难点分析全面透彻，具有针对性，解决措施完善合理、可实施性强得 0-5.0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工作重点、难点及其解决措施.docx</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1）提供完善的管理制度方案，包含但不仅限于项目管理机构及管理制度编制、工作职能组织运行图，主负责人管理职责、内部管理的职责分工、日常管理制度，方案中各项管理制度全面完善，人员管理职责清晰得 0-3.0 分， （2）提供完善的台账制度和考核办法、各项资料管理措施等内容，台账制度和考核办法合理完善，各项资料管理措施到位得0-3.0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管理制度方案.docx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（1）根据本项目服务特点提合理服务理念，整体服务方案全面，目标定位精准，管理符合实际，安全性、保密性、规范性强得0-5.0分。 （2）提供针对未成年人服务涵盖内容的工作方案，对服务对象需求、综合评估、风险登记确定、信息登记、档案建立、生活照料、家庭关系修复等方面详细说明，包含以上全部内容的得0-5.0分；方案涵盖内容全面，服务频率满足要求，服务措施得当到位，根据响应情况的得0-2.0分。 （3）提供针对临时监护服务对象提供基本生活照料、课业辅导、医疗服务、特殊教育、社会融入活动、心理咨询与辅导、情感支持、教育支持、家庭关系修复、兴趣拓展、职业技能培训、监护能力培训等方面详细说明，包含以上全部内容的得0-5.0分；方案涵盖内容全面，服务频率满足要求，服务措施得当到位，根据响应情况的得0-2.0分。 （4）提供针对扩大儿童关爱保护队伍，培育社会组织专业人才，积累人才储备涵盖内容的工作方案，方案涵盖内容全面，服务频率满足要求，服务措施得当到位得的得0-5.0分。 （5）提供针对加强政策法规宣传，营造全社会关爱保护未成年人氛围服务涵盖内容的工作方案，方案涵盖内容全面，服务频率满足要求，服务措施得当到位的得0-5.0分。 （6）提供针对发挥公益平台优势，链接多方资源共同助力未成年人保护服务涵盖内容的工作方案，方案涵盖内容全面，服务频率满足要求，服务措施得当到位的得0-5.0分。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供应商在具有五名专业社工、一名心理咨询师、二名教师基础上，每增加一名专业持证社工或心理咨询师加 1 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项目人员.docx</w:t>
            </w:r>
          </w:p>
        </w:tc>
      </w:tr>
      <w:tr>
        <w:tc>
          <w:tcPr>
            <w:tcW w:type="dxa" w:w="831"/>
            <w:vMerge/>
          </w:tcPr>
          <w:p/>
        </w:tc>
        <w:tc>
          <w:tcPr>
            <w:tcW w:type="dxa" w:w="1661"/>
          </w:tcPr>
          <w:p>
            <w:pPr>
              <w:pStyle w:val="null3"/>
            </w:pPr>
            <w:r>
              <w:rPr>
                <w:rFonts w:ascii="仿宋_GB2312" w:hAnsi="仿宋_GB2312" w:cs="仿宋_GB2312" w:eastAsia="仿宋_GB2312"/>
              </w:rPr>
              <w:t>拟投入社工人员的培训计划</w:t>
            </w:r>
          </w:p>
        </w:tc>
        <w:tc>
          <w:tcPr>
            <w:tcW w:type="dxa" w:w="2492"/>
          </w:tcPr>
          <w:p>
            <w:pPr>
              <w:pStyle w:val="null3"/>
            </w:pPr>
            <w:r>
              <w:rPr>
                <w:rFonts w:ascii="仿宋_GB2312" w:hAnsi="仿宋_GB2312" w:cs="仿宋_GB2312" w:eastAsia="仿宋_GB2312"/>
              </w:rPr>
              <w:t>社工人员培训计划内容详细，针对性强，完全满足采购需求要求得 0-5.0分。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拟投入社工人员的培训计划.docx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认真做好各类事故的预防工作，确保安全无事故，提供的针对突发特殊情况应急保障措施，具有详细、有效的应急措施。确保在发生紧急事件及其他问题时，能够及时、有效的解决问题，保证项目顺利进行，能在发生紧急事件及其他问题时提供详细的有效补救措施，得 0-6.0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针对本项目有具体可行的服务承诺，能够明确服务指标，为采购人提供相关服务咨询、优化建议等措施。承诺内容贴近采购需求、细节描述详细、完整合理，得 0-5.0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供应商能力</w:t>
            </w:r>
          </w:p>
        </w:tc>
        <w:tc>
          <w:tcPr>
            <w:tcW w:type="dxa" w:w="2492"/>
          </w:tcPr>
          <w:p>
            <w:pPr>
              <w:pStyle w:val="null3"/>
            </w:pPr>
            <w:r>
              <w:rPr>
                <w:rFonts w:ascii="仿宋_GB2312" w:hAnsi="仿宋_GB2312" w:cs="仿宋_GB2312" w:eastAsia="仿宋_GB2312"/>
              </w:rPr>
              <w:t>1、在民政部门登记注册的，具有 3A 社会组织评估等级的民办非企业性质社会服务组织得 2 分；具有 3A 以上社会组织评估等级的民办非企业性质社会服务组织得 3 分。（提供证明资料民政部登记注册证明与 AAA 等级评估证书，不提供或提供不全者不得分） 2、具有专属机动车辆，有 1 辆得 1 分，最多得 2 分。（提供加盖公章的车辆行驶证复印件） 3、在本地设有适合未成年人保护工作的固定场所得 3 分，承诺在中标后在本地设置适合未成年人保护工作固定场所的得 3 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供应商能力.docx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2022年 1 月 1 日以来的未成年人社会保护服务业绩，每提供一个业绩得 2 分，最多得 10 分，不提供不得分。（须提供合同或中标通知书，以合同签订时间或中标通知书发出时间为准）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 其他供应商的价格分统一按照下列公式计算： 磋商报价得分=（磋商基准价/最终磋商报价）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详见附件：工作重点、难点及其解决措施.docx</w:t>
      </w:r>
    </w:p>
    <w:p>
      <w:pPr>
        <w:pStyle w:val="null3"/>
        <w:ind w:firstLine="960"/>
      </w:pPr>
      <w:r>
        <w:rPr>
          <w:rFonts w:ascii="仿宋_GB2312" w:hAnsi="仿宋_GB2312" w:cs="仿宋_GB2312" w:eastAsia="仿宋_GB2312"/>
        </w:rPr>
        <w:t>详见附件：管理制度方案.docx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详见附件：项目人员.docx</w:t>
      </w:r>
    </w:p>
    <w:p>
      <w:pPr>
        <w:pStyle w:val="null3"/>
        <w:ind w:firstLine="960"/>
      </w:pPr>
      <w:r>
        <w:rPr>
          <w:rFonts w:ascii="仿宋_GB2312" w:hAnsi="仿宋_GB2312" w:cs="仿宋_GB2312" w:eastAsia="仿宋_GB2312"/>
        </w:rPr>
        <w:t>详见附件：拟投入社工人员的培训计划.docx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详见附件：供应商能力.docx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