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版本号：ZXGJLTFGS-2025--01320250819001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2025年雨金街道环境整治提升镇项目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ZXGJLTFGS-2025--013</w:t>
      </w:r>
      <w:r>
        <w:br/>
      </w:r>
      <w:r>
        <w:br/>
      </w:r>
      <w:r>
        <w:br/>
      </w:r>
    </w:p>
    <w:p>
      <w:pPr>
        <w:pStyle w:val="null3"/>
        <w:jc w:val="center"/>
        <w:outlineLvl w:val="2"/>
      </w:pPr>
      <w:r>
        <w:rPr>
          <w:rFonts w:ascii="仿宋_GB2312" w:hAnsi="仿宋_GB2312" w:cs="仿宋_GB2312" w:eastAsia="仿宋_GB2312"/>
          <w:sz w:val="28"/>
          <w:b/>
        </w:rPr>
        <w:t>西安市临潼区雨金街道办事处</w:t>
      </w:r>
    </w:p>
    <w:p>
      <w:pPr>
        <w:pStyle w:val="null3"/>
        <w:jc w:val="center"/>
        <w:outlineLvl w:val="2"/>
      </w:pPr>
      <w:r>
        <w:rPr>
          <w:rFonts w:ascii="仿宋_GB2312" w:hAnsi="仿宋_GB2312" w:cs="仿宋_GB2312" w:eastAsia="仿宋_GB2312"/>
          <w:sz w:val="28"/>
          <w:b/>
        </w:rPr>
        <w:t>中昕国际项目管理有限公司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2025年08月19日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中昕国际项目管理有限公司</w:t>
      </w:r>
      <w:r>
        <w:rPr>
          <w:rFonts w:ascii="仿宋_GB2312" w:hAnsi="仿宋_GB2312" w:cs="仿宋_GB2312" w:eastAsia="仿宋_GB2312"/>
        </w:rPr>
        <w:t>（以下简称“代理机构”）受</w:t>
      </w:r>
      <w:r>
        <w:rPr>
          <w:rFonts w:ascii="仿宋_GB2312" w:hAnsi="仿宋_GB2312" w:cs="仿宋_GB2312" w:eastAsia="仿宋_GB2312"/>
        </w:rPr>
        <w:t>西安市临潼区雨金街道办事处</w:t>
      </w:r>
      <w:r>
        <w:rPr>
          <w:rFonts w:ascii="仿宋_GB2312" w:hAnsi="仿宋_GB2312" w:cs="仿宋_GB2312" w:eastAsia="仿宋_GB2312"/>
        </w:rPr>
        <w:t>委托，拟对</w:t>
      </w:r>
      <w:r>
        <w:rPr>
          <w:rFonts w:ascii="仿宋_GB2312" w:hAnsi="仿宋_GB2312" w:cs="仿宋_GB2312" w:eastAsia="仿宋_GB2312"/>
        </w:rPr>
        <w:t>2025年雨金街道环境整治提升镇项目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ZXGJLTFGS-2025--013</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2025年雨金街道环境整治提升镇项目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包括街道门头安拆，垃圾外运，路面硬化，清理原有渠道淤泥，新修混凝土渠道，文化宣传墙，新修标志性建筑，砖砌花墙，基本绿化及道路两侧照明安装等工作，具体详见磋商文件、图纸及工程量清单内全部内容。</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采购包1（2025年雨金街道环境整治提升镇项目）：属于专门面向中小企业采购。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1、法定代表人授权书或身份证明：提供法定代表人授权书（附法定代表人、被授权人身份证复印件）（法定代表人直接参加磋商，须提供法定代表人身份证明）；非法人单位参照执行；</w:t>
      </w:r>
    </w:p>
    <w:p>
      <w:pPr>
        <w:pStyle w:val="null3"/>
      </w:pPr>
      <w:r>
        <w:rPr>
          <w:rFonts w:ascii="仿宋_GB2312" w:hAnsi="仿宋_GB2312" w:cs="仿宋_GB2312" w:eastAsia="仿宋_GB2312"/>
        </w:rPr>
        <w:t>2、供应商资质要求：供应商须具备建设行政主管部门颁发的市政公用工程施工总承包三级（含三级）以上资质，且具备有效的安全生产许可证；</w:t>
      </w:r>
    </w:p>
    <w:p>
      <w:pPr>
        <w:pStyle w:val="null3"/>
      </w:pPr>
      <w:r>
        <w:rPr>
          <w:rFonts w:ascii="仿宋_GB2312" w:hAnsi="仿宋_GB2312" w:cs="仿宋_GB2312" w:eastAsia="仿宋_GB2312"/>
        </w:rPr>
        <w:t>3、拟派项目经理资质要求：拟派项目经理具备市政公用工程二级及以上注册建造师证书和安全生产考核合格证（B证），且无在建工程（提供无在建工程承诺书）；</w:t>
      </w:r>
    </w:p>
    <w:p>
      <w:pPr>
        <w:pStyle w:val="null3"/>
      </w:pPr>
      <w:r>
        <w:rPr>
          <w:rFonts w:ascii="仿宋_GB2312" w:hAnsi="仿宋_GB2312" w:cs="仿宋_GB2312" w:eastAsia="仿宋_GB2312"/>
        </w:rPr>
        <w:t>4、供应商信用记录：供应商不得为“信用中国 (www.credit china.gov.cn)”中列入失信被执行人和重大税收违法失信主体的供应商，不得为“中国政府采购网(www.ccgp.gov.cn)”政府采购严重违法失信行为记录名单中被财政部门禁止参加政府采购活动的供应商。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西安市临潼区雨金街道办事处</w:t>
      </w:r>
    </w:p>
    <w:p>
      <w:pPr>
        <w:pStyle w:val="null3"/>
      </w:pPr>
      <w:r>
        <w:rPr>
          <w:rFonts w:ascii="仿宋_GB2312" w:hAnsi="仿宋_GB2312" w:cs="仿宋_GB2312" w:eastAsia="仿宋_GB2312"/>
        </w:rPr>
        <w:t xml:space="preserve"> 地址： </w:t>
      </w:r>
      <w:r>
        <w:rPr>
          <w:rFonts w:ascii="仿宋_GB2312" w:hAnsi="仿宋_GB2312" w:cs="仿宋_GB2312" w:eastAsia="仿宋_GB2312"/>
        </w:rPr>
        <w:t>临潼区雨金街道东关村</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710600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张惠萍</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02983807729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中昕国际项目管理有限公司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西安经济技术开发区凤城十二路首创禧悦里25幢A座16层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门哲西、王超、王涛、李博飞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02983938602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西安市临潼区政府采购管理股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马明</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83825758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采购包1：3,846,653.63元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质量保证金缴纳比例：</w:t>
            </w:r>
            <w:r>
              <w:rPr>
                <w:rFonts w:ascii="仿宋_GB2312" w:hAnsi="仿宋_GB2312" w:cs="仿宋_GB2312" w:eastAsia="仿宋_GB2312"/>
              </w:rPr>
              <w:t>3.0</w:t>
            </w:r>
            <w:r>
              <w:rPr>
                <w:rFonts w:ascii="仿宋_GB2312" w:hAnsi="仿宋_GB2312" w:cs="仿宋_GB2312" w:eastAsia="仿宋_GB2312"/>
              </w:rPr>
              <w:t>%</w:t>
            </w:r>
          </w:p>
          <w:p>
            <w:pPr>
              <w:pStyle w:val="null3"/>
            </w:pPr>
            <w:r>
              <w:rPr>
                <w:rFonts w:ascii="仿宋_GB2312" w:hAnsi="仿宋_GB2312" w:cs="仿宋_GB2312" w:eastAsia="仿宋_GB2312"/>
              </w:rPr>
              <w:t>缴纳方式：</w:t>
            </w:r>
            <w:r>
              <w:rPr>
                <w:rFonts w:ascii="仿宋_GB2312" w:hAnsi="仿宋_GB2312" w:cs="仿宋_GB2312" w:eastAsia="仿宋_GB2312"/>
              </w:rPr>
              <w:t>合同款中扣除</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代理服务费收费标准：1、招标代理服务费分为招标代理费和造价咨询费，成交单位在领取成交通知书前一次性支付该费用。 （1）招标代理费金额以中标金额为基数参照国家计委颁发的《招标代理服务收费管理暂行办法》（计价格〔2002〕1980号）、国家发展改革委员会办公厅颁发的《关于招标代理服务收费有关问题的通知》（发改办价格〔2003〕 857号）、《国家发展改革委关于降低部分建设项目收费标准规范收费行为等有关问题的通知》（发改价格〔2011〕534号）的有关规定的80%执行；（2）造价咨询费以最高限价为基数参照《关于我省工程造价咨询服务收费标准有关问题的通知》陕价行发〔2014〕88号标准的80%执行。 2、招标代理服务费账户 名称：中昕国际项目管理有限公司临潼分公司 开户行：中国工商银行股份有限公司西安临潼区支行 账号：3700029209200213959</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西安市临潼区雨金街道办事处</w:t>
      </w:r>
      <w:r>
        <w:rPr>
          <w:rFonts w:ascii="仿宋_GB2312" w:hAnsi="仿宋_GB2312" w:cs="仿宋_GB2312" w:eastAsia="仿宋_GB2312"/>
        </w:rPr>
        <w:t>和</w:t>
      </w:r>
      <w:r>
        <w:rPr>
          <w:rFonts w:ascii="仿宋_GB2312" w:hAnsi="仿宋_GB2312" w:cs="仿宋_GB2312" w:eastAsia="仿宋_GB2312"/>
        </w:rPr>
        <w:t>中昕国际项目管理有限公司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西安市临潼区雨金街道办事处</w:t>
      </w:r>
      <w:r>
        <w:rPr>
          <w:rFonts w:ascii="仿宋_GB2312" w:hAnsi="仿宋_GB2312" w:cs="仿宋_GB2312" w:eastAsia="仿宋_GB2312"/>
        </w:rPr>
        <w:t>负责解释。除上述磋商文件内容，其他内容由</w:t>
      </w:r>
      <w:r>
        <w:rPr>
          <w:rFonts w:ascii="仿宋_GB2312" w:hAnsi="仿宋_GB2312" w:cs="仿宋_GB2312" w:eastAsia="仿宋_GB2312"/>
        </w:rPr>
        <w:t>中昕国际项目管理有限公司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西安市临潼区雨金街道办事处</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中昕国际项目管理有限公司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详见合同文本</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中昕国际项目管理有限公司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中昕国际项目管理有限公司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中昕国际项目管理有限公司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联系人：门哲西</w:t>
      </w:r>
    </w:p>
    <w:p>
      <w:pPr>
        <w:pStyle w:val="null3"/>
      </w:pPr>
      <w:r>
        <w:rPr>
          <w:rFonts w:ascii="仿宋_GB2312" w:hAnsi="仿宋_GB2312" w:cs="仿宋_GB2312" w:eastAsia="仿宋_GB2312"/>
        </w:rPr>
        <w:t>联系电话：02983938602</w:t>
      </w:r>
    </w:p>
    <w:p>
      <w:pPr>
        <w:pStyle w:val="null3"/>
      </w:pPr>
      <w:r>
        <w:rPr>
          <w:rFonts w:ascii="仿宋_GB2312" w:hAnsi="仿宋_GB2312" w:cs="仿宋_GB2312" w:eastAsia="仿宋_GB2312"/>
        </w:rPr>
        <w:t>地址：西安市临潼区东关街与人民东路交叉口南100米建筑工程公司院内</w:t>
      </w:r>
    </w:p>
    <w:p>
      <w:pPr>
        <w:pStyle w:val="null3"/>
      </w:pPr>
      <w:r>
        <w:rPr>
          <w:rFonts w:ascii="仿宋_GB2312" w:hAnsi="仿宋_GB2312" w:cs="仿宋_GB2312" w:eastAsia="仿宋_GB2312"/>
        </w:rPr>
        <w:t>邮编：710600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3,846,653.63</w:t>
      </w:r>
    </w:p>
    <w:p>
      <w:pPr>
        <w:pStyle w:val="null3"/>
      </w:pPr>
      <w:r>
        <w:rPr>
          <w:rFonts w:ascii="仿宋_GB2312" w:hAnsi="仿宋_GB2312" w:cs="仿宋_GB2312" w:eastAsia="仿宋_GB2312"/>
        </w:rPr>
        <w:t>采购包最高限价（元）: 3,846,653.63</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2025年雨金街道环境整治提升镇项目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3,846,653.63</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标的名称：2025年雨金街道环境整治提升镇项目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1"/>
                <w:b/>
                <w:color w:val="000000"/>
              </w:rPr>
              <w:t>一</w:t>
            </w:r>
            <w:r>
              <w:rPr>
                <w:rFonts w:ascii="仿宋_GB2312" w:hAnsi="仿宋_GB2312" w:cs="仿宋_GB2312" w:eastAsia="仿宋_GB2312"/>
                <w:sz w:val="21"/>
                <w:b/>
                <w:color w:val="000000"/>
              </w:rPr>
              <w:t>、项目概况</w:t>
            </w:r>
          </w:p>
          <w:p>
            <w:pPr>
              <w:pStyle w:val="null3"/>
              <w:ind w:firstLine="480"/>
            </w:pPr>
            <w:r>
              <w:rPr>
                <w:rFonts w:ascii="仿宋_GB2312" w:hAnsi="仿宋_GB2312" w:cs="仿宋_GB2312" w:eastAsia="仿宋_GB2312"/>
                <w:sz w:val="21"/>
              </w:rPr>
              <w:t>包括街道门头安拆，垃圾外运，路面硬化，清理原有渠道淤泥，新修混凝土渠道，文化宣传墙，新修标志性建筑，砖砌花墙，基本绿化及道路两侧照明安装等工作，具体详见磋商文件、图纸及工程量清单内全部内容。</w:t>
            </w:r>
          </w:p>
          <w:p>
            <w:pPr>
              <w:pStyle w:val="null3"/>
              <w:jc w:val="left"/>
            </w:pPr>
            <w:r>
              <w:rPr>
                <w:rFonts w:ascii="仿宋_GB2312" w:hAnsi="仿宋_GB2312" w:cs="仿宋_GB2312" w:eastAsia="仿宋_GB2312"/>
                <w:sz w:val="21"/>
                <w:b/>
                <w:color w:val="000000"/>
              </w:rPr>
              <w:t>二、</w:t>
            </w:r>
            <w:r>
              <w:rPr>
                <w:rFonts w:ascii="仿宋_GB2312" w:hAnsi="仿宋_GB2312" w:cs="仿宋_GB2312" w:eastAsia="仿宋_GB2312"/>
                <w:sz w:val="21"/>
                <w:b/>
                <w:color w:val="000000"/>
              </w:rPr>
              <w:t>工程地点：</w:t>
            </w:r>
            <w:r>
              <w:rPr>
                <w:rFonts w:ascii="仿宋_GB2312" w:hAnsi="仿宋_GB2312" w:cs="仿宋_GB2312" w:eastAsia="仿宋_GB2312"/>
                <w:sz w:val="21"/>
                <w:color w:val="000000"/>
              </w:rPr>
              <w:t>新阎路雨金段道路两侧</w:t>
            </w:r>
          </w:p>
          <w:p>
            <w:pPr>
              <w:pStyle w:val="null3"/>
              <w:jc w:val="left"/>
            </w:pPr>
            <w:r>
              <w:rPr>
                <w:rFonts w:ascii="仿宋_GB2312" w:hAnsi="仿宋_GB2312" w:cs="仿宋_GB2312" w:eastAsia="仿宋_GB2312"/>
                <w:sz w:val="21"/>
                <w:b/>
                <w:color w:val="000000"/>
              </w:rPr>
              <w:t>三、计划工期：</w:t>
            </w:r>
            <w:r>
              <w:rPr>
                <w:rFonts w:ascii="仿宋_GB2312" w:hAnsi="仿宋_GB2312" w:cs="仿宋_GB2312" w:eastAsia="仿宋_GB2312"/>
                <w:sz w:val="21"/>
                <w:color w:val="000000"/>
              </w:rPr>
              <w:t>自合同签订之日起60个日历天</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b/>
                <w:color w:val="000000"/>
              </w:rPr>
              <w:t>四、质保期：</w:t>
            </w:r>
            <w:r>
              <w:rPr>
                <w:rFonts w:ascii="仿宋_GB2312" w:hAnsi="仿宋_GB2312" w:cs="仿宋_GB2312" w:eastAsia="仿宋_GB2312"/>
                <w:sz w:val="21"/>
                <w:color w:val="000000"/>
              </w:rPr>
              <w:t>一年。</w:t>
            </w:r>
          </w:p>
          <w:p>
            <w:pPr>
              <w:pStyle w:val="null3"/>
              <w:spacing w:before="90"/>
              <w:jc w:val="left"/>
            </w:pPr>
            <w:r>
              <w:rPr>
                <w:rFonts w:ascii="仿宋_GB2312" w:hAnsi="仿宋_GB2312" w:cs="仿宋_GB2312" w:eastAsia="仿宋_GB2312"/>
                <w:sz w:val="21"/>
                <w:b/>
                <w:color w:val="000000"/>
              </w:rPr>
              <w:t>五</w:t>
            </w:r>
            <w:r>
              <w:rPr>
                <w:rFonts w:ascii="仿宋_GB2312" w:hAnsi="仿宋_GB2312" w:cs="仿宋_GB2312" w:eastAsia="仿宋_GB2312"/>
                <w:sz w:val="21"/>
                <w:b/>
                <w:color w:val="000000"/>
              </w:rPr>
              <w:t>、工程量清单和计价依据</w:t>
            </w:r>
          </w:p>
          <w:p>
            <w:pPr>
              <w:pStyle w:val="null3"/>
              <w:ind w:firstLine="456"/>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一</w:t>
            </w:r>
            <w:r>
              <w:rPr>
                <w:rFonts w:ascii="仿宋_GB2312" w:hAnsi="仿宋_GB2312" w:cs="仿宋_GB2312" w:eastAsia="仿宋_GB2312"/>
                <w:sz w:val="21"/>
                <w:color w:val="000000"/>
              </w:rPr>
              <w:t>）</w:t>
            </w:r>
            <w:r>
              <w:rPr>
                <w:rFonts w:ascii="仿宋_GB2312" w:hAnsi="仿宋_GB2312" w:cs="仿宋_GB2312" w:eastAsia="仿宋_GB2312"/>
                <w:sz w:val="21"/>
                <w:color w:val="000000"/>
              </w:rPr>
              <w:t>计价依据：</w:t>
            </w:r>
          </w:p>
          <w:p>
            <w:pPr>
              <w:pStyle w:val="null3"/>
              <w:ind w:firstLine="452"/>
              <w:jc w:val="left"/>
            </w:pPr>
            <w:r>
              <w:rPr>
                <w:rFonts w:ascii="仿宋_GB2312" w:hAnsi="仿宋_GB2312" w:cs="仿宋_GB2312" w:eastAsia="仿宋_GB2312"/>
                <w:sz w:val="21"/>
                <w:color w:val="000000"/>
              </w:rPr>
              <w:t>1、国家标准及行业标准相关图集；</w:t>
            </w:r>
          </w:p>
          <w:p>
            <w:pPr>
              <w:pStyle w:val="null3"/>
              <w:ind w:firstLine="452"/>
              <w:jc w:val="left"/>
            </w:pPr>
            <w:r>
              <w:rPr>
                <w:rFonts w:ascii="仿宋_GB2312" w:hAnsi="仿宋_GB2312" w:cs="仿宋_GB2312" w:eastAsia="仿宋_GB2312"/>
                <w:sz w:val="21"/>
                <w:color w:val="000000"/>
              </w:rPr>
              <w:t>2、该项目的设计施工图纸；</w:t>
            </w:r>
          </w:p>
          <w:p>
            <w:pPr>
              <w:pStyle w:val="null3"/>
              <w:ind w:firstLine="452"/>
              <w:jc w:val="left"/>
            </w:pPr>
            <w:r>
              <w:rPr>
                <w:rFonts w:ascii="仿宋_GB2312" w:hAnsi="仿宋_GB2312" w:cs="仿宋_GB2312" w:eastAsia="仿宋_GB2312"/>
                <w:sz w:val="21"/>
                <w:color w:val="000000"/>
              </w:rPr>
              <w:t>3、材料价格选用《临潼区工程造价信息》2025年6月及《陕西</w:t>
            </w:r>
            <w:r>
              <w:rPr>
                <w:rFonts w:ascii="仿宋_GB2312" w:hAnsi="仿宋_GB2312" w:cs="仿宋_GB2312" w:eastAsia="仿宋_GB2312"/>
                <w:sz w:val="21"/>
                <w:color w:val="000000"/>
              </w:rPr>
              <w:t>省工程造价管理信息》2025年6月或现行市场调查价格计算；</w:t>
            </w:r>
          </w:p>
          <w:p>
            <w:pPr>
              <w:pStyle w:val="null3"/>
              <w:ind w:firstLine="452"/>
              <w:jc w:val="left"/>
            </w:pPr>
            <w:r>
              <w:rPr>
                <w:rFonts w:ascii="仿宋_GB2312" w:hAnsi="仿宋_GB2312" w:cs="仿宋_GB2312" w:eastAsia="仿宋_GB2312"/>
                <w:sz w:val="21"/>
                <w:color w:val="000000"/>
              </w:rPr>
              <w:t>4、本工程采用现行：</w:t>
            </w:r>
          </w:p>
          <w:p>
            <w:pPr>
              <w:pStyle w:val="null3"/>
              <w:ind w:firstLine="452"/>
              <w:jc w:val="left"/>
            </w:pPr>
            <w:r>
              <w:rPr>
                <w:rFonts w:ascii="仿宋_GB2312" w:hAnsi="仿宋_GB2312" w:cs="仿宋_GB2312" w:eastAsia="仿宋_GB2312"/>
                <w:sz w:val="21"/>
                <w:color w:val="000000"/>
              </w:rPr>
              <w:t>《陕西省建设工程工程量清单计价规则（2025）》；</w:t>
            </w:r>
          </w:p>
          <w:p>
            <w:pPr>
              <w:pStyle w:val="null3"/>
              <w:ind w:firstLine="452"/>
              <w:jc w:val="left"/>
            </w:pPr>
            <w:r>
              <w:rPr>
                <w:rFonts w:ascii="仿宋_GB2312" w:hAnsi="仿宋_GB2312" w:cs="仿宋_GB2312" w:eastAsia="仿宋_GB2312"/>
                <w:sz w:val="21"/>
                <w:color w:val="000000"/>
              </w:rPr>
              <w:t>《陕西省房屋建筑与装饰工程基价表（2025）》；</w:t>
            </w:r>
          </w:p>
          <w:p>
            <w:pPr>
              <w:pStyle w:val="null3"/>
              <w:ind w:firstLine="452"/>
              <w:jc w:val="left"/>
            </w:pPr>
            <w:r>
              <w:rPr>
                <w:rFonts w:ascii="仿宋_GB2312" w:hAnsi="仿宋_GB2312" w:cs="仿宋_GB2312" w:eastAsia="仿宋_GB2312"/>
                <w:sz w:val="21"/>
                <w:color w:val="000000"/>
              </w:rPr>
              <w:t>《陕西省市政工程基价表（2025）》；</w:t>
            </w:r>
          </w:p>
          <w:p>
            <w:pPr>
              <w:pStyle w:val="null3"/>
              <w:ind w:firstLine="452"/>
              <w:jc w:val="left"/>
            </w:pPr>
            <w:r>
              <w:rPr>
                <w:rFonts w:ascii="仿宋_GB2312" w:hAnsi="仿宋_GB2312" w:cs="仿宋_GB2312" w:eastAsia="仿宋_GB2312"/>
                <w:sz w:val="21"/>
                <w:color w:val="000000"/>
              </w:rPr>
              <w:t>《陕西省通用安装工程基价表（2025）》；</w:t>
            </w:r>
          </w:p>
          <w:p>
            <w:pPr>
              <w:pStyle w:val="null3"/>
              <w:ind w:firstLine="452"/>
              <w:jc w:val="left"/>
            </w:pPr>
            <w:r>
              <w:rPr>
                <w:rFonts w:ascii="仿宋_GB2312" w:hAnsi="仿宋_GB2312" w:cs="仿宋_GB2312" w:eastAsia="仿宋_GB2312"/>
                <w:sz w:val="21"/>
                <w:color w:val="000000"/>
              </w:rPr>
              <w:t>《陕西省园林绿化工程基价表（2025）》</w:t>
            </w:r>
          </w:p>
          <w:p>
            <w:pPr>
              <w:pStyle w:val="null3"/>
              <w:ind w:firstLine="452"/>
              <w:jc w:val="left"/>
            </w:pPr>
            <w:r>
              <w:rPr>
                <w:rFonts w:ascii="仿宋_GB2312" w:hAnsi="仿宋_GB2312" w:cs="仿宋_GB2312" w:eastAsia="仿宋_GB2312"/>
                <w:sz w:val="21"/>
                <w:color w:val="000000"/>
              </w:rPr>
              <w:t>5、税金执行陕建发【2019】45号文件；</w:t>
            </w:r>
          </w:p>
          <w:p>
            <w:pPr>
              <w:pStyle w:val="null3"/>
              <w:ind w:firstLine="452"/>
              <w:jc w:val="left"/>
            </w:pPr>
            <w:r>
              <w:rPr>
                <w:rFonts w:ascii="仿宋_GB2312" w:hAnsi="仿宋_GB2312" w:cs="仿宋_GB2312" w:eastAsia="仿宋_GB2312"/>
                <w:sz w:val="21"/>
                <w:color w:val="000000"/>
              </w:rPr>
              <w:t>6、人工费执行最新各专业基价表中对应综合人工费；</w:t>
            </w:r>
          </w:p>
          <w:p>
            <w:pPr>
              <w:pStyle w:val="null3"/>
              <w:ind w:firstLine="452"/>
              <w:jc w:val="left"/>
            </w:pPr>
            <w:r>
              <w:rPr>
                <w:rFonts w:ascii="仿宋_GB2312" w:hAnsi="仿宋_GB2312" w:cs="仿宋_GB2312" w:eastAsia="仿宋_GB2312"/>
                <w:sz w:val="21"/>
                <w:color w:val="000000"/>
              </w:rPr>
              <w:t>7、其余各类取费均参照陕建管发（2025）10号文件中的相应规定计取；</w:t>
            </w:r>
          </w:p>
          <w:p>
            <w:pPr>
              <w:pStyle w:val="null3"/>
              <w:ind w:firstLine="452"/>
              <w:jc w:val="left"/>
            </w:pPr>
            <w:r>
              <w:rPr>
                <w:rFonts w:ascii="仿宋_GB2312" w:hAnsi="仿宋_GB2312" w:cs="仿宋_GB2312" w:eastAsia="仿宋_GB2312"/>
                <w:sz w:val="21"/>
                <w:color w:val="000000"/>
              </w:rPr>
              <w:t>（二）、其他说明</w:t>
            </w:r>
          </w:p>
          <w:p>
            <w:pPr>
              <w:pStyle w:val="null3"/>
              <w:ind w:firstLine="452"/>
              <w:jc w:val="left"/>
            </w:pPr>
            <w:r>
              <w:rPr>
                <w:rFonts w:ascii="仿宋_GB2312" w:hAnsi="仿宋_GB2312" w:cs="仿宋_GB2312" w:eastAsia="仿宋_GB2312"/>
                <w:sz w:val="21"/>
                <w:color w:val="000000"/>
              </w:rPr>
              <w:t>1、该招标最高限价为含增值税工程造价；</w:t>
            </w:r>
          </w:p>
          <w:p>
            <w:pPr>
              <w:pStyle w:val="null3"/>
              <w:ind w:firstLine="452"/>
              <w:jc w:val="left"/>
            </w:pPr>
            <w:r>
              <w:rPr>
                <w:rFonts w:ascii="仿宋_GB2312" w:hAnsi="仿宋_GB2312" w:cs="仿宋_GB2312" w:eastAsia="仿宋_GB2312"/>
                <w:sz w:val="21"/>
                <w:color w:val="000000"/>
              </w:rPr>
              <w:t>2、编制软件：采用广联达云计价平台 GCCP7.0，内核版本： 7.5000.23.1。</w:t>
            </w:r>
          </w:p>
          <w:p>
            <w:pPr>
              <w:pStyle w:val="null3"/>
              <w:spacing w:before="90"/>
              <w:ind w:left="30"/>
              <w:jc w:val="left"/>
            </w:pPr>
            <w:r>
              <w:rPr>
                <w:rFonts w:ascii="仿宋_GB2312" w:hAnsi="仿宋_GB2312" w:cs="仿宋_GB2312" w:eastAsia="仿宋_GB2312"/>
                <w:sz w:val="21"/>
                <w:b/>
                <w:color w:val="000000"/>
              </w:rPr>
              <w:t>六</w:t>
            </w:r>
            <w:r>
              <w:rPr>
                <w:rFonts w:ascii="仿宋_GB2312" w:hAnsi="仿宋_GB2312" w:cs="仿宋_GB2312" w:eastAsia="仿宋_GB2312"/>
                <w:sz w:val="21"/>
                <w:b/>
                <w:color w:val="000000"/>
              </w:rPr>
              <w:t>、施工要求</w:t>
            </w:r>
          </w:p>
          <w:p>
            <w:pPr>
              <w:pStyle w:val="null3"/>
              <w:ind w:firstLine="452"/>
              <w:jc w:val="left"/>
            </w:pPr>
            <w:r>
              <w:rPr>
                <w:rFonts w:ascii="仿宋_GB2312" w:hAnsi="仿宋_GB2312" w:cs="仿宋_GB2312" w:eastAsia="仿宋_GB2312"/>
                <w:sz w:val="21"/>
                <w:color w:val="000000"/>
              </w:rPr>
              <w:t>在施工期间，中标供应商必须注意人员安全，加强安全措施，并定期对施工人员进行安全教育，且施工人员必须持证上岗。</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符合国家现行有关施工质量验收规范“合格”要求。</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满足磋商文件、图纸、工程量清单的全部内容。</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1、本项目专门面向中小企业采购。 2、本项目属性：工程类；本项目采购标的所属行业为：建筑业。（按照《工信部 国家统计局 发改委 财政部 工信部联企业》中小企业划型标准（〔2011〕300号）规定：营业收入80000万元以下或资产总额80000万元以下的为中小微型企业。其中，营业收入6000万元及以上，且资产总额5000万元及以上的为中型企业；营业收入300万元及以上，且资产总额300万元及以上的为小型企业；营业收入300万元以下或资产总额300万元以下的为微型企业。 3、成交供应商在成交结果发布后3个工作日内无偿向代理机构提供纸质版响应文件三套，电子U盘二个（U盘内容包括Word版本、与系统上传后导出完全一致的PDF版响应文件）。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 （1）有效的主体资格证明：提供合格有效的法人或者其他组织的营业执照等证明文件，自然人的身份证明；供应商是法人或其他组织的应提供营业执照等证明文件，供应商是自然人的应提供有效的自然人身份证明； （2）根据临财函〔2025〕199号《关于扩大政府采购供应商基本资格条件承诺制试点工作范围的通知》，供应商出具参加本次政府采购活动供应商资格条件承诺函（供应商未提供资格信用承诺函的，应当按照《中华人民共和国政府采购法》及其实施条例的相关规定提供相应的证明材料）。</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根据临财函〔2025〕199号《关于扩大政府采购供应商基本资格条件承诺制试点工作范围的通知》，供应商出具参加本次政府采购活动供应商资格条件承诺函（供应商未提供资格信用承诺函的，应当按照《中华人民共和国政府采购法》及其实施条例的相关规定提供相应的证明材料）。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（1）单位负责人为同一人或者存在直接控股、管理关系的不同供应商不得参加同一合同项下的政府采购活动； （2）为本项目提供整体设计、规范编制或者项目管理、监理、检测等服务的供应商，不得再参加该采购项目的其他采购活动。 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 资格证明文件.docx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法定代表人授权书或身份证明</w:t>
            </w:r>
          </w:p>
        </w:tc>
        <w:tc>
          <w:tcPr>
            <w:tcW w:type="dxa" w:w="3322"/>
          </w:tcPr>
          <w:p>
            <w:pPr>
              <w:pStyle w:val="null3"/>
            </w:pPr>
            <w:r>
              <w:rPr>
                <w:rFonts w:ascii="仿宋_GB2312" w:hAnsi="仿宋_GB2312" w:cs="仿宋_GB2312" w:eastAsia="仿宋_GB2312"/>
              </w:rPr>
              <w:t>提供法定代表人授权书（附法定代表人、被授权人身份证复印件）（法定代表人直接参加磋商，须提供法定代表人身份证明）；非法人单位参照执行；</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供应商资质要求</w:t>
            </w:r>
          </w:p>
        </w:tc>
        <w:tc>
          <w:tcPr>
            <w:tcW w:type="dxa" w:w="3322"/>
          </w:tcPr>
          <w:p>
            <w:pPr>
              <w:pStyle w:val="null3"/>
            </w:pPr>
            <w:r>
              <w:rPr>
                <w:rFonts w:ascii="仿宋_GB2312" w:hAnsi="仿宋_GB2312" w:cs="仿宋_GB2312" w:eastAsia="仿宋_GB2312"/>
              </w:rPr>
              <w:t>供应商须具备建设行政主管部门颁发的市政公用工程施工总承包三级（含三级）以上资质，且具备有效的安全生产许可证；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拟派项目经理资质要求</w:t>
            </w:r>
          </w:p>
        </w:tc>
        <w:tc>
          <w:tcPr>
            <w:tcW w:type="dxa" w:w="3322"/>
          </w:tcPr>
          <w:p>
            <w:pPr>
              <w:pStyle w:val="null3"/>
            </w:pPr>
            <w:r>
              <w:rPr>
                <w:rFonts w:ascii="仿宋_GB2312" w:hAnsi="仿宋_GB2312" w:cs="仿宋_GB2312" w:eastAsia="仿宋_GB2312"/>
              </w:rPr>
              <w:t>拟派项目经理具备市政公用工程二级及以上注册建造师证书和安全生产考核合格证（B证），且无在建工程（提供无在建工程承诺书）；</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供应商信用记录</w:t>
            </w:r>
          </w:p>
        </w:tc>
        <w:tc>
          <w:tcPr>
            <w:tcW w:type="dxa" w:w="3322"/>
          </w:tcPr>
          <w:p>
            <w:pPr>
              <w:pStyle w:val="null3"/>
            </w:pPr>
            <w:r>
              <w:rPr>
                <w:rFonts w:ascii="仿宋_GB2312" w:hAnsi="仿宋_GB2312" w:cs="仿宋_GB2312" w:eastAsia="仿宋_GB2312"/>
              </w:rPr>
              <w:t>供应商不得为“信用中国 (www.credit china.gov.cn)”中列入失信被执行人和重大税收违法失信主体的供应商，不得为“中国政府采购网(www.ccgp.gov.cn)”政府采购严重违法失信行为记录名单中被财政部门禁止参加政府采购活动的供应商。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有效性审查</w:t>
            </w:r>
          </w:p>
        </w:tc>
        <w:tc>
          <w:tcPr>
            <w:tcW w:type="dxa" w:w="3322"/>
          </w:tcPr>
          <w:p>
            <w:pPr>
              <w:pStyle w:val="null3"/>
            </w:pPr>
            <w:r>
              <w:rPr>
                <w:rFonts w:ascii="仿宋_GB2312" w:hAnsi="仿宋_GB2312" w:cs="仿宋_GB2312" w:eastAsia="仿宋_GB2312"/>
              </w:rPr>
              <w:t>（1）响应文件的签署盖章：与所投项目名称、项目编号一致，且符合磋商文件签署盖章要求； （2）响应文件格式：符合磋商文件“第七章 响应文件格式”的规定 ； （3）报价唯一：只能有一个有效报价，不得提交选择性报价，且报价不超过磋商文件规定的采购预算金额及最高限价</w:t>
            </w:r>
          </w:p>
        </w:tc>
        <w:tc>
          <w:tcPr>
            <w:tcW w:type="dxa" w:w="1661"/>
          </w:tcPr>
          <w:p>
            <w:pPr>
              <w:pStyle w:val="null3"/>
            </w:pPr>
            <w:r>
              <w:rPr>
                <w:rFonts w:ascii="仿宋_GB2312" w:hAnsi="仿宋_GB2312" w:cs="仿宋_GB2312" w:eastAsia="仿宋_GB2312"/>
              </w:rPr>
              <w:t>业绩一览表.docx 已标价工程量清单 中小企业声明函 施工组织设计.docx 资格证明文件.docx 响应文件封面 残疾人福利性单位声明函 报价函 标的清单 供应商拒绝政府采购领域商业贿赂承诺书.docx 响应函 监狱企业的证明文件 技术、服务、合同条款及其他商务要求应答表.docx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工期、磋商有效期</w:t>
            </w:r>
          </w:p>
        </w:tc>
        <w:tc>
          <w:tcPr>
            <w:tcW w:type="dxa" w:w="3322"/>
          </w:tcPr>
          <w:p>
            <w:pPr>
              <w:pStyle w:val="null3"/>
            </w:pPr>
            <w:r>
              <w:rPr>
                <w:rFonts w:ascii="仿宋_GB2312" w:hAnsi="仿宋_GB2312" w:cs="仿宋_GB2312" w:eastAsia="仿宋_GB2312"/>
              </w:rPr>
              <w:t>满足磋商文件规定</w:t>
            </w:r>
          </w:p>
        </w:tc>
        <w:tc>
          <w:tcPr>
            <w:tcW w:type="dxa" w:w="1661"/>
          </w:tcPr>
          <w:p>
            <w:pPr>
              <w:pStyle w:val="null3"/>
            </w:pPr>
            <w:r>
              <w:rPr>
                <w:rFonts w:ascii="仿宋_GB2312" w:hAnsi="仿宋_GB2312" w:cs="仿宋_GB2312" w:eastAsia="仿宋_GB2312"/>
              </w:rPr>
              <w:t>响应文件封面 报价函 标的清单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工程质量、质保期</w:t>
            </w:r>
          </w:p>
        </w:tc>
        <w:tc>
          <w:tcPr>
            <w:tcW w:type="dxa" w:w="3322"/>
          </w:tcPr>
          <w:p>
            <w:pPr>
              <w:pStyle w:val="null3"/>
            </w:pPr>
            <w:r>
              <w:rPr>
                <w:rFonts w:ascii="仿宋_GB2312" w:hAnsi="仿宋_GB2312" w:cs="仿宋_GB2312" w:eastAsia="仿宋_GB2312"/>
              </w:rPr>
              <w:t>满足磋商文件规定</w:t>
            </w:r>
          </w:p>
        </w:tc>
        <w:tc>
          <w:tcPr>
            <w:tcW w:type="dxa" w:w="1661"/>
          </w:tcPr>
          <w:p>
            <w:pPr>
              <w:pStyle w:val="null3"/>
            </w:pPr>
            <w:r>
              <w:rPr>
                <w:rFonts w:ascii="仿宋_GB2312" w:hAnsi="仿宋_GB2312" w:cs="仿宋_GB2312" w:eastAsia="仿宋_GB2312"/>
              </w:rPr>
              <w:t>响应文件封面 报价函 标的清单</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施工方案1</w:t>
            </w:r>
          </w:p>
        </w:tc>
        <w:tc>
          <w:tcPr>
            <w:tcW w:type="dxa" w:w="2492"/>
          </w:tcPr>
          <w:p>
            <w:pPr>
              <w:pStyle w:val="null3"/>
            </w:pPr>
            <w:r>
              <w:rPr>
                <w:rFonts w:ascii="仿宋_GB2312" w:hAnsi="仿宋_GB2312" w:cs="仿宋_GB2312" w:eastAsia="仿宋_GB2312"/>
              </w:rPr>
              <w:t>供应商针对本项目编制完善的施工部署及准备； ①方案内容全面、具体、科学，可行性强，得6分； ②方案内容相对全面、具体、科学，可行性相对较强，得5分； ③方案内容基本全面、具体，有一定的可行性，得4分； ④方案内容不够全面、具体，可行性相对较弱，得3分； ⑤方案内容笼统，可行性有待考究的，得2分； ⑥方案内容不全面、具体，可行性较差，得1分； ⑦无内容不得分。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施工方案2</w:t>
            </w:r>
          </w:p>
        </w:tc>
        <w:tc>
          <w:tcPr>
            <w:tcW w:type="dxa" w:w="2492"/>
          </w:tcPr>
          <w:p>
            <w:pPr>
              <w:pStyle w:val="null3"/>
            </w:pPr>
            <w:r>
              <w:rPr>
                <w:rFonts w:ascii="仿宋_GB2312" w:hAnsi="仿宋_GB2312" w:cs="仿宋_GB2312" w:eastAsia="仿宋_GB2312"/>
              </w:rPr>
              <w:t>供应商针对本项目编制完善的分部分项施工方法； ①方案内容全面、具体、科学，可行性强，得6分； ②方案内容相对全面、具体、科学，可行性相对较强，得5分； ③方案内容基本全面、具体，有一定的可行性，得4分； ④方案内容不够全面、具体，可行性相对较弱，得3分； ⑤方案内容笼统，可行性有待考究的，得2分； ⑥方案内容不全面、具体，可行性较差，得1分； ⑦无内容不得分。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确保项目质量的技术组织措施</w:t>
            </w:r>
          </w:p>
        </w:tc>
        <w:tc>
          <w:tcPr>
            <w:tcW w:type="dxa" w:w="2492"/>
          </w:tcPr>
          <w:p>
            <w:pPr>
              <w:pStyle w:val="null3"/>
            </w:pPr>
            <w:r>
              <w:rPr>
                <w:rFonts w:ascii="仿宋_GB2312" w:hAnsi="仿宋_GB2312" w:cs="仿宋_GB2312" w:eastAsia="仿宋_GB2312"/>
              </w:rPr>
              <w:t>针对本项目有确保项目质量的技术组织措施。 ①措施内容全面、具体、科学，可行性强，得6分； ②措施内容相对全面、具体、科学，可行性相对较强，得5分； ③措施内容基本全面、具体，有一定的可行性，得4分； ④措施内容不够全面、具体，可行性相对较弱，得3分； ⑤措施内容笼统，可行性有待考究的，得2分； ⑥措施内容不全面、具体，可行性较差，得1分； ⑦无内容不得分。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确保安全施工的技术组织措施</w:t>
            </w:r>
          </w:p>
        </w:tc>
        <w:tc>
          <w:tcPr>
            <w:tcW w:type="dxa" w:w="2492"/>
          </w:tcPr>
          <w:p>
            <w:pPr>
              <w:pStyle w:val="null3"/>
            </w:pPr>
            <w:r>
              <w:rPr>
                <w:rFonts w:ascii="仿宋_GB2312" w:hAnsi="仿宋_GB2312" w:cs="仿宋_GB2312" w:eastAsia="仿宋_GB2312"/>
              </w:rPr>
              <w:t>针对本项目有切实可行的确保安全施工的技术组织措施。 ①措施内容全面、具体、科学，可行性强，得6分； ②措施内容相对全面、具体、科学，可行性相对较强，得5分； ③措施内容基本全面、具体，有一定的可行性，得4分； ④措施内容不够全面、具体，可行性相对较弱，得3分； ⑤措施内容笼统，可行性有待考究的，得2分； ⑥措施内容不全面、具体，可行性较差，得1分； ⑦无内容不得分。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确保文明施工的技术组织措施</w:t>
            </w:r>
          </w:p>
        </w:tc>
        <w:tc>
          <w:tcPr>
            <w:tcW w:type="dxa" w:w="2492"/>
          </w:tcPr>
          <w:p>
            <w:pPr>
              <w:pStyle w:val="null3"/>
            </w:pPr>
            <w:r>
              <w:rPr>
                <w:rFonts w:ascii="仿宋_GB2312" w:hAnsi="仿宋_GB2312" w:cs="仿宋_GB2312" w:eastAsia="仿宋_GB2312"/>
              </w:rPr>
              <w:t>针对本项目有具体、可行的文明施工的技术组织措施。 ①措施内容全面、具体、科学，可行性强，得6分； ②措施内容相对全面、具体、科学，可行性相对较强，得5分； ③措施内容基本全面、具体，有一定的可行性，得4分； ④措施内容不够全面、具体，可行性相对较弱，得3分； ⑤措施内容笼统，可行性有待考究的，得2分； ⑥措施内容不全面、具体，可行性较差，得1分； ⑦无内容不得分。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确保环境保护的技术组织措施</w:t>
            </w:r>
          </w:p>
        </w:tc>
        <w:tc>
          <w:tcPr>
            <w:tcW w:type="dxa" w:w="2492"/>
          </w:tcPr>
          <w:p>
            <w:pPr>
              <w:pStyle w:val="null3"/>
            </w:pPr>
            <w:r>
              <w:rPr>
                <w:rFonts w:ascii="仿宋_GB2312" w:hAnsi="仿宋_GB2312" w:cs="仿宋_GB2312" w:eastAsia="仿宋_GB2312"/>
              </w:rPr>
              <w:t>针对本项目有具体、可行的环境保护的技术组织措施（包含治污减霾措施）。 ①措施内容全面、具体、科学，可行性强，得6分； ②措施内容相对全面、具体、科学，可行性相对较强，得5分； ③措施内容基本全面、具体，有一定的可行性，得4分； ④措施内容不够全面、具体，可行性相对较弱，得3分； ⑤措施内容笼统，可行性有待考究的，得2分； ⑥措施内容不全面、具体，可行性较差，得1分； ⑦无内容不得分。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确保工期的技术组织措施</w:t>
            </w:r>
          </w:p>
        </w:tc>
        <w:tc>
          <w:tcPr>
            <w:tcW w:type="dxa" w:w="2492"/>
          </w:tcPr>
          <w:p>
            <w:pPr>
              <w:pStyle w:val="null3"/>
            </w:pPr>
            <w:r>
              <w:rPr>
                <w:rFonts w:ascii="仿宋_GB2312" w:hAnsi="仿宋_GB2312" w:cs="仿宋_GB2312" w:eastAsia="仿宋_GB2312"/>
              </w:rPr>
              <w:t>针对本项目有具体、可行的确保工期的技术组织措施。 ①措施内容全面、具体、科学，可行性强，得6分； ②措施内容相对全面、具体、科学，可行性相对较强，得5分； ③措施内容基本全面、具体，有一定的可行性，得4分； ④措施内容不够全面、具体，可行性相对较弱，得3分； ⑤措施内容笼统，可行性有待考究的，得2分； ⑥措施内容不全面、具体，可行性较差，得1分； ⑦无内容不得分。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施工进度计划</w:t>
            </w:r>
          </w:p>
        </w:tc>
        <w:tc>
          <w:tcPr>
            <w:tcW w:type="dxa" w:w="2492"/>
          </w:tcPr>
          <w:p>
            <w:pPr>
              <w:pStyle w:val="null3"/>
            </w:pPr>
            <w:r>
              <w:rPr>
                <w:rFonts w:ascii="仿宋_GB2312" w:hAnsi="仿宋_GB2312" w:cs="仿宋_GB2312" w:eastAsia="仿宋_GB2312"/>
              </w:rPr>
              <w:t>根据本项目的具体情况，设置合理的进度控制点，制定周到、全面、具体的进度计划，能够充分考虑计划，均衡资源，满足工期和质量。 ①进度计划全面、科学、合理性强，得6分； ②进度计划相对全面、科学、合理性较强，得5分； ③进度计划基本全面、较科学、有一定的合理性，得4分； ④进度计划不够全面、科学、合理性相对较弱，得3分； ⑤进度计划笼统，合理性有待考究的，得2分； ⑥进度计划不全面、科学、合理性较差，得1分； ⑦无内容不得分。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拟投入的主要设备及劳动力配备情况</w:t>
            </w:r>
          </w:p>
        </w:tc>
        <w:tc>
          <w:tcPr>
            <w:tcW w:type="dxa" w:w="2492"/>
          </w:tcPr>
          <w:p>
            <w:pPr>
              <w:pStyle w:val="null3"/>
            </w:pPr>
            <w:r>
              <w:rPr>
                <w:rFonts w:ascii="仿宋_GB2312" w:hAnsi="仿宋_GB2312" w:cs="仿宋_GB2312" w:eastAsia="仿宋_GB2312"/>
              </w:rPr>
              <w:t>①针对本项目拟投入的主要设备及劳动力配备情况，充足、完备、先进、可行的，得6分； ②针对本项目拟投入的主要设备及劳动力配备情况，较为先进、合理可行，得5分； ③针对本项目拟投入的主要设备及劳动力配备情况，相对先进、相对合理可行，得4分； ④针对本项目拟投入的主要设备及劳动力配备情况、设备及劳动力配备，较先进、基本合理可行，得3分； ⑤针对本项目拟投入的主要设备及劳动力配备情况，不够合理可行，得2分； ⑥针对本项目拟投入的主要设备及劳动力配备情况，不合理，需在采购人要求下完善后才能实施的，得1分； ⑦无内容不得分。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项目管理机构组成</w:t>
            </w:r>
          </w:p>
        </w:tc>
        <w:tc>
          <w:tcPr>
            <w:tcW w:type="dxa" w:w="2492"/>
          </w:tcPr>
          <w:p>
            <w:pPr>
              <w:pStyle w:val="null3"/>
            </w:pPr>
            <w:r>
              <w:rPr>
                <w:rFonts w:ascii="仿宋_GB2312" w:hAnsi="仿宋_GB2312" w:cs="仿宋_GB2312" w:eastAsia="仿宋_GB2312"/>
              </w:rPr>
              <w:t>①针对本项目拟投入项目经理部组成人员结构合理，人员配备齐全，责任明确，佐证材料齐全得6分； ②针对本项目拟投入项目经理部组成人员结构相对合理，人员配备相对齐全，责任相对明确，有相关佐证材料得5分； ③针对本项目拟投入项目经理部组成人员结构基本合理，人员配备基本齐全，责任基本明确，有相关佐证材料得4分； ④针对本项目拟投入项目经理部组成人员结构不够合理，人员配备不够齐全，责任不太明确，相关佐证材料缺失得3分； ⑤针对本项目拟投入项目经理部组成人员内容笼统，可行性有待考究的，得2分； ⑥针对本项目拟投入项目经理部组成人员结构不合理，人员配备不齐全，责任不明确，相关佐证材料缺失得1分； ⑦无内容不得分。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提供2022年1月1日至截标时间前类似项目业绩（以合同或中标通知书为准，须在磋商响应文件中附以上证明材料的扫描件加盖单位公章，每份合格业绩合同计2分，满分10分。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1.经初审合格的磋商响应文件，其磋商报价为有效磋商报价。 2.满足磋商文件实质性要求且最终报价最低的供应商的价格为磋商基准价，其价格分为满分30分。 3.磋商报价得分=（磋商基准价/最终磋商报价）×30的公式计算得分。 4.磋商报价不完整的，不进入基准价的计算，本项得0分。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详见附件：施工组织设计.docx</w:t>
      </w:r>
    </w:p>
    <w:p>
      <w:pPr>
        <w:pStyle w:val="null3"/>
        <w:ind w:firstLine="960"/>
      </w:pPr>
      <w:r>
        <w:rPr>
          <w:rFonts w:ascii="仿宋_GB2312" w:hAnsi="仿宋_GB2312" w:cs="仿宋_GB2312" w:eastAsia="仿宋_GB2312"/>
        </w:rPr>
        <w:t>详见附件：业绩一览表.docx</w:t>
      </w:r>
    </w:p>
    <w:p>
      <w:pPr>
        <w:pStyle w:val="null3"/>
        <w:ind w:firstLine="960"/>
      </w:pPr>
      <w:r>
        <w:rPr>
          <w:rFonts w:ascii="仿宋_GB2312" w:hAnsi="仿宋_GB2312" w:cs="仿宋_GB2312" w:eastAsia="仿宋_GB2312"/>
        </w:rPr>
        <w:t>详见附件：技术、服务、合同条款及其他商务要求应答表.docx</w:t>
      </w:r>
    </w:p>
    <w:p>
      <w:pPr>
        <w:pStyle w:val="null3"/>
        <w:ind w:firstLine="960"/>
      </w:pPr>
      <w:r>
        <w:rPr>
          <w:rFonts w:ascii="仿宋_GB2312" w:hAnsi="仿宋_GB2312" w:cs="仿宋_GB2312" w:eastAsia="仿宋_GB2312"/>
        </w:rPr>
        <w:t>详见附件：供应商拒绝政府采购领域商业贿赂承诺书.docx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详见附件：合同条款及格式（参考）.docx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