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版本号：HYZB2025003620250826001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2025年交口街道环境整治提升镇项目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HYZB20250036</w:t>
      </w:r>
      <w:r>
        <w:br/>
      </w:r>
      <w:r>
        <w:br/>
      </w:r>
      <w:r>
        <w:br/>
      </w:r>
    </w:p>
    <w:p>
      <w:pPr>
        <w:pStyle w:val="null3"/>
        <w:jc w:val="center"/>
        <w:outlineLvl w:val="2"/>
      </w:pPr>
      <w:r>
        <w:rPr>
          <w:rFonts w:ascii="仿宋_GB2312" w:hAnsi="仿宋_GB2312" w:cs="仿宋_GB2312" w:eastAsia="仿宋_GB2312"/>
          <w:sz w:val="28"/>
          <w:b/>
        </w:rPr>
        <w:t>西安市临潼区交口街道办事处</w:t>
      </w:r>
    </w:p>
    <w:p>
      <w:pPr>
        <w:pStyle w:val="null3"/>
        <w:jc w:val="center"/>
        <w:outlineLvl w:val="2"/>
      </w:pPr>
      <w:r>
        <w:rPr>
          <w:rFonts w:ascii="仿宋_GB2312" w:hAnsi="仿宋_GB2312" w:cs="仿宋_GB2312" w:eastAsia="仿宋_GB2312"/>
          <w:sz w:val="28"/>
          <w:b/>
        </w:rPr>
        <w:t>陕西华洋项目管理有限公司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陕西华洋项目管理有限公司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西安市临潼区交口街道办事处</w:t>
      </w:r>
      <w:r>
        <w:rPr>
          <w:rFonts w:ascii="仿宋_GB2312" w:hAnsi="仿宋_GB2312" w:cs="仿宋_GB2312" w:eastAsia="仿宋_GB2312"/>
        </w:rPr>
        <w:t>委托，拟对</w:t>
      </w:r>
      <w:r>
        <w:rPr>
          <w:rFonts w:ascii="仿宋_GB2312" w:hAnsi="仿宋_GB2312" w:cs="仿宋_GB2312" w:eastAsia="仿宋_GB2312"/>
        </w:rPr>
        <w:t>2025年交口街道环境整治提升镇项目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HYZB20250036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2025年交口街道环境整治提升镇项目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主街环境提升、人行道改造提升、镇街巷道提升项目。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采购包1（2025年交口街道环境整治提升镇项目）：属于专门面向中小企业采购。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rFonts w:ascii="仿宋_GB2312" w:hAnsi="仿宋_GB2312" w:cs="仿宋_GB2312" w:eastAsia="仿宋_GB2312"/>
        </w:rPr>
        <w:t>2、基本资格条件承诺函：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 如不提供《基本资格条件承诺函》的供应商需提交以下资格证明文件： ①、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②、税收缴纳证明：提供自2025年1月1日至投标截止日已缴纳的任意一个月的纳税证明或完税证明，依法免税的单位应提供相关证明材料； ③、社会保障资金缴纳证明：提供自2025年1月1日至投标截止日已缴存的任意一个月的社会保障资金缴存单据或社保机构开具的社会保险参保缴费情况证明，依法不需要缴纳社会保障资金的单位应提供相关证明材料； ④、提供具有履行本合同所必需的设备和专业技术能力的承诺； ⑤、参加政府采购活动前3年内，在经营活动中没有重大违法记录的书面声明；⑥、供应商不得为“信用中国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3、法定代表人授权书或身份证明：提供法定代表人授权书（附法定代表人、被授权人身份证复印件）（法定代表人直接参加投标，须提供法定代表人身份证明）。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4、供应商资质：须具备市政公用工程施工总承包二级及以上资质；具有有效的安全生产许可证。</w:t>
      </w:r>
    </w:p>
    <w:p>
      <w:pPr>
        <w:pStyle w:val="null3"/>
      </w:pPr>
      <w:r>
        <w:rPr>
          <w:rFonts w:ascii="仿宋_GB2312" w:hAnsi="仿宋_GB2312" w:cs="仿宋_GB2312" w:eastAsia="仿宋_GB2312"/>
        </w:rPr>
        <w:t>5、项目经理：拟派项目经理须具备市政公用工程专业二级及以上注册建造师资格，具备有效的安全生产考核合格证（B证）；且无在建项目（提供无在建项目承诺书）。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西安市临潼区交口街道办事处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临潼区交口街道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临潼区交口街道办事处经办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029-83985164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西安市临潼区文化西路37号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029-83875110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采购包1：3,841,949.19元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2002年颁发的《招标代理服务收费管理暂行办法》(计价格〔2002〕1980号)及国家发改委2011年颁布的《国家发展改革委关于降低部分建设项目收费标准规范收费行为等有关问题的通知 》（发改价格[2011]534号）采用现金、转账或汇款方式交纳招标服务费； 2、工程量清单及招标控制价编制费:以对外发布的招标控制价金额作为计费收取基数，由招标代理机构按陕价行发【2014】88号取费标准收取工程量清单及招标控制价编制费。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西安市临潼区交口街道办事处</w:t>
      </w:r>
      <w:r>
        <w:rPr>
          <w:rFonts w:ascii="仿宋_GB2312" w:hAnsi="仿宋_GB2312" w:cs="仿宋_GB2312" w:eastAsia="仿宋_GB2312"/>
        </w:rPr>
        <w:t>和</w:t>
      </w:r>
      <w:r>
        <w:rPr>
          <w:rFonts w:ascii="仿宋_GB2312" w:hAnsi="仿宋_GB2312" w:cs="仿宋_GB2312" w:eastAsia="仿宋_GB2312"/>
        </w:rPr>
        <w:t>陕西华洋项目管理有限公司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西安市临潼区交口街道办事处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西安市临潼区交口街道办事处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联系电话：029-83875110</w:t>
      </w:r>
    </w:p>
    <w:p>
      <w:pPr>
        <w:pStyle w:val="null3"/>
      </w:pPr>
      <w:r>
        <w:rPr>
          <w:rFonts w:ascii="仿宋_GB2312" w:hAnsi="仿宋_GB2312" w:cs="仿宋_GB2312" w:eastAsia="仿宋_GB2312"/>
        </w:rPr>
        <w:t>地址：西安市临潼区文化西路37号</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3,841,949.19</w:t>
      </w:r>
    </w:p>
    <w:p>
      <w:pPr>
        <w:pStyle w:val="null3"/>
      </w:pPr>
      <w:r>
        <w:rPr>
          <w:rFonts w:ascii="仿宋_GB2312" w:hAnsi="仿宋_GB2312" w:cs="仿宋_GB2312" w:eastAsia="仿宋_GB2312"/>
        </w:rPr>
        <w:t>采购包最高限价（元）: 3,841,949.19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2025年交口街道环境整治提升镇项目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3,841,949.19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标的名称：2025年交口街道环境整治提升镇项目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color w:val="000000"/>
              </w:rPr>
              <w:t>一、工程质量要求与验收依据</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1）质量要求：中标人必须严格按照设计施工图纸及有关施工和验收规范进行施工，保证工程质量通过有关部门验收，达到国家相关行业的质量标准。</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2）验收方法：验收应按</w:t>
            </w:r>
            <w:r>
              <w:rPr>
                <w:rFonts w:ascii="仿宋_GB2312" w:hAnsi="仿宋_GB2312" w:cs="仿宋_GB2312" w:eastAsia="仿宋_GB2312"/>
                <w:sz w:val="24"/>
                <w:color w:val="000000"/>
              </w:rPr>
              <w:t>市政公用工程</w:t>
            </w:r>
            <w:r>
              <w:rPr>
                <w:rFonts w:ascii="仿宋_GB2312" w:hAnsi="仿宋_GB2312" w:cs="仿宋_GB2312" w:eastAsia="仿宋_GB2312"/>
                <w:sz w:val="24"/>
                <w:color w:val="000000"/>
              </w:rPr>
              <w:t>适用的规范或标准及其他相关的规范和标准执行。</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3）依据设计文件要求：本招标工程项目的材料、设备、施工必须达到下列现行中华人民共和国及省、市、行业的一切有关工程建设标准、法规、规范的要求。</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4）如上述标准及规范要求与最新国家、省、市标准有出入者，则以最新标准为准。</w:t>
            </w:r>
          </w:p>
          <w:p>
            <w:pPr>
              <w:pStyle w:val="null3"/>
              <w:ind w:firstLine="480"/>
              <w:jc w:val="both"/>
            </w:pPr>
            <w:r>
              <w:rPr>
                <w:rFonts w:ascii="仿宋_GB2312" w:hAnsi="仿宋_GB2312" w:cs="仿宋_GB2312" w:eastAsia="仿宋_GB2312"/>
                <w:sz w:val="24"/>
                <w:color w:val="000000"/>
              </w:rPr>
              <w:t>二、根据工程设计要求，该项工程项目的材料、施工除必须达到以上标准外，还应满足设计要求和业主在招标文件中的有关要求。</w:t>
            </w:r>
          </w:p>
          <w:p>
            <w:pPr>
              <w:pStyle w:val="null3"/>
              <w:ind w:firstLine="480"/>
              <w:jc w:val="both"/>
            </w:pPr>
            <w:r>
              <w:rPr>
                <w:rFonts w:ascii="仿宋_GB2312" w:hAnsi="仿宋_GB2312" w:cs="仿宋_GB2312" w:eastAsia="仿宋_GB2312"/>
                <w:sz w:val="24"/>
                <w:color w:val="000000"/>
              </w:rPr>
              <w:t>三、本工程所有主要材料必须符合设计要求及国家有关规定，有出厂合格证，经质检部门检验合格。</w:t>
            </w:r>
          </w:p>
          <w:p>
            <w:pPr>
              <w:pStyle w:val="null3"/>
              <w:ind w:firstLine="480"/>
              <w:jc w:val="both"/>
            </w:pPr>
            <w:r>
              <w:rPr>
                <w:rFonts w:ascii="仿宋_GB2312" w:hAnsi="仿宋_GB2312" w:cs="仿宋_GB2312" w:eastAsia="仿宋_GB2312"/>
                <w:sz w:val="24"/>
                <w:color w:val="000000"/>
              </w:rPr>
              <w:t>四、未尽的工程质量技术要求均按现行国家、省、市有关规范和标准执行。</w:t>
            </w:r>
          </w:p>
          <w:p>
            <w:pPr>
              <w:pStyle w:val="null3"/>
              <w:ind w:firstLine="480"/>
              <w:jc w:val="both"/>
            </w:pPr>
            <w:r>
              <w:rPr>
                <w:rFonts w:ascii="仿宋_GB2312" w:hAnsi="仿宋_GB2312" w:cs="仿宋_GB2312" w:eastAsia="仿宋_GB2312"/>
                <w:sz w:val="24"/>
                <w:color w:val="000000"/>
              </w:rPr>
              <w:t>五、工程量清单</w:t>
            </w:r>
            <w:r>
              <w:rPr>
                <w:rFonts w:ascii="仿宋_GB2312" w:hAnsi="仿宋_GB2312" w:cs="仿宋_GB2312" w:eastAsia="仿宋_GB2312"/>
                <w:sz w:val="24"/>
                <w:color w:val="000000"/>
              </w:rPr>
              <w:t>及图纸</w:t>
            </w:r>
            <w:r>
              <w:rPr>
                <w:rFonts w:ascii="仿宋_GB2312" w:hAnsi="仿宋_GB2312" w:cs="仿宋_GB2312" w:eastAsia="仿宋_GB2312"/>
                <w:sz w:val="24"/>
                <w:color w:val="000000"/>
              </w:rPr>
              <w:t>（另附）。</w:t>
            </w:r>
          </w:p>
          <w:p>
            <w:pPr>
              <w:pStyle w:val="null3"/>
            </w:pPr>
            <w:r>
              <w:rPr>
                <w:rFonts w:ascii="仿宋_GB2312" w:hAnsi="仿宋_GB2312" w:cs="仿宋_GB2312" w:eastAsia="仿宋_GB2312"/>
              </w:rPr>
              <w:t xml:space="preserve"> </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供应商工程质量须满足国家及行业现行相关技术规范标准。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1、本工程的磋商报价不得超过采购包最高限价要求。 2、供应商的报价，应是完成磋商文件所列磋商工程范围及工期、质量的全部，供应商不得以任何理由进行删改。 3、本工程的施工地点为本须知前附表所述，除非合同中另有规定，供应商在报价中所报的综合单价和合价，以及磋商总价中的价格均包括完成该工程项目的成本﹑利润﹑税金 ﹑技术措施费﹑大型机械进出场费﹑约定风险调整范围以外的风险费﹑政策性文件规定费用等一切因本项目而产生的所有费用。 4、供应商应自行到施工地点踏勘以充分了解工地位置﹑情况﹑道路﹑储存空间﹑装卸限制及任何其他足以影响承包价的情况，任何因忽视或误解工地情况而导致的索赔或工期延长申请将不被批准。 5、供应商应充分踏勘现场，如果认为有必要可向采购人索要地质勘察资料，充分了解现场情况进行报价，中标后不再因为不了解现场情况而予以调整报价。 6、施工现场水电费的计取：水表、电表由成交供应商提供并负责安装，磋商报价时水电费价格由供应商自主报价。工程结算时采购人不承担由于水、电费涨价而产生的差价。 7、认质认价材料的差价在工程结算时除安全文明施工费、规费及税金外不计取其他任何费用。 8、当投供应商承诺的工期少于磋商要求的工期，或承诺的工程质量等级高于磋商要求时，供应商应将因此所增加的所有费用列入投标报价中，如未列入，采购人视同供应商报价中已包含此项费用。竣工验收时必须达到所承诺的工期和质量标准。若竣工验收时工程质量和工期未达到投标时承诺的质量标准和工期，视同供应商违约。 9、最终合同金额以审计结论为准。10.本项目暂列金：190000.00 元，暂估价：10000.00 元。</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为顺利推进政府采购电子化交易平台应用工作，投标人需要在线提交所有通过电子化交易平台实施的政府采购项目的投标文件，同时，线下提交纸质版投标文件，正本一套、副本二套、电子版二套（U盘二套标明投标人名称，随正本密封）。若线上电子投标文件与纸质投标文件不一致的，以线上电子投标文件为准；若正本和副本不符，以正本为准。 线下递交文件时间：详见本项目招标公告文件截止时间；线下递交文件地点：西安市临潼区文化西路37号。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以下方式，二者皆可：①、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②根据《西安市临潼区财政局关于开展政府采购供应商基本资格条件承诺制试点工作的通知》临财函〔2024〕236号，供应商也可提供《基本资格条件承诺函》以替代财务报告，供应商应保证承诺的真实性，采购人可以在中标(成交)结果公告后、签订政府采购合同前，核实中标(成交)供应商所作信用承诺事项的真实性。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 如不提供《基本资格条件承诺函》的供应商需提交以下资格证明文件： ①、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②、税收缴纳证明：提供自2025年1月1日至投标截止日已缴纳的任意一个月的纳税证明或完税证明，依法免税的单位应提供相关证明材料； ③、社会保障资金缴纳证明：提供自2025年1月1日至投标截止日已缴存的任意一个月的社会保障资金缴存单据或社保机构开具的社会保险参保缴费情况证明，依法不需要缴纳社会保障资金的单位应提供相关证明材料； ④、提供具有履行本合同所必需的设备和专业技术能力的承诺； ⑤、参加政府采购活动前3年内，在经营活动中没有重大违法记录的书面声明；⑥、供应商不得为“信用中国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法定代表人授权书或身份证明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须具备市政公用工程施工总承包二级及以上资质；具有有效的安全生产许可证。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拟派项目经理须具备市政公用工程专业二级及以上注册建造师资格，具备有效的安全生产考核合格证（B证）；且无在建项目（提供无在建项目承诺书）。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磋商响应文件上法定代表人或其授权代表人的签字齐全，要求加盖单位公章处加盖公章。</w:t>
            </w:r>
          </w:p>
        </w:tc>
        <w:tc>
          <w:tcPr>
            <w:tcW w:type="dxa" w:w="1661"/>
          </w:tcPr>
          <w:p>
            <w:pPr>
              <w:pStyle w:val="null3"/>
            </w:pPr>
            <w:r>
              <w:rPr>
                <w:rFonts w:ascii="仿宋_GB2312" w:hAnsi="仿宋_GB2312" w:cs="仿宋_GB2312" w:eastAsia="仿宋_GB2312"/>
              </w:rPr>
              <w:t>确保安全生产的技术组织措施.docx 施工机械配备和材料投入计划.docx 业绩.docx 已标价工程量清单 中小企业声明函 施工承诺.docx 项目经理部组成人员.docx 确保工期的技术组织措施.docx 资格证明文件.docx 响应文件封面 确保工程质量的技术组织措施.docx 劳动力安排计划.docx 施工方案.docx 残疾人福利性单位声明函 报价函 技术商务要求响应表.docx 标的清单 确保文明施工的技术组织措施.docx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确保安全生产的技术组织措施.docx 施工机械配备和材料投入计划.docx 业绩.docx 已标价工程量清单 中小企业声明函 施工承诺.docx 项目经理部组成人员.docx 确保工期的技术组织措施.docx 资格证明文件.docx 响应文件封面 确保工程质量的技术组织措施.docx 劳动力安排计划.docx 施工方案.docx 残疾人福利性单位声明函 报价函 技术商务要求响应表.docx 标的清单 确保文明施工的技术组织措施.docx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只能有一个有效报价，不得提交选择性报价，按要求提交二次或多次报价，且第一轮报价不超过最高限价，第二轮报价不超过第一轮报价金额。磋商小组认为低于成本报价的磋商报价将被拒绝。</w:t>
            </w:r>
          </w:p>
        </w:tc>
        <w:tc>
          <w:tcPr>
            <w:tcW w:type="dxa" w:w="1661"/>
          </w:tcPr>
          <w:p>
            <w:pPr>
              <w:pStyle w:val="null3"/>
            </w:pPr>
            <w:r>
              <w:rPr>
                <w:rFonts w:ascii="仿宋_GB2312" w:hAnsi="仿宋_GB2312" w:cs="仿宋_GB2312" w:eastAsia="仿宋_GB2312"/>
              </w:rPr>
              <w:t>确保安全生产的技术组织措施.docx 施工机械配备和材料投入计划.docx 业绩.docx 已标价工程量清单 中小企业声明函 施工承诺.docx 项目经理部组成人员.docx 确保工期的技术组织措施.docx 资格证明文件.docx 响应文件封面 确保工程质量的技术组织措施.docx 劳动力安排计划.docx 施工方案.docx 残疾人福利性单位声明函 报价函 技术商务要求响应表.docx 标的清单 确保文明施工的技术组织措施.docx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确保安全生产的技术组织措施.docx 施工机械配备和材料投入计划.docx 业绩.docx 已标价工程量清单 中小企业声明函 施工承诺.docx 项目经理部组成人员.docx 确保工期的技术组织措施.docx 资格证明文件.docx 响应文件封面 确保工程质量的技术组织措施.docx 劳动力安排计划.docx 施工方案.docx 残疾人福利性单位声明函 报价函 技术商务要求响应表.docx 标的清单 确保文明施工的技术组织措施.docx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确保安全生产的技术组织措施.docx 施工机械配备和材料投入计划.docx 业绩.docx 已标价工程量清单 中小企业声明函 施工承诺.docx 项目经理部组成人员.docx 确保工期的技术组织措施.docx 资格证明文件.docx 响应文件封面 确保工程质量的技术组织措施.docx 劳动力安排计划.docx 施工方案.docx 残疾人福利性单位声明函 报价函 技术商务要求响应表.docx 标的清单 确保文明施工的技术组织措施.docx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确保安全生产的技术组织措施.docx 施工机械配备和材料投入计划.docx 业绩.docx 已标价工程量清单 中小企业声明函 施工承诺.docx 项目经理部组成人员.docx 确保工期的技术组织措施.docx 资格证明文件.docx 响应文件封面 确保工程质量的技术组织措施.docx 劳动力安排计划.docx 施工方案.docx 残疾人福利性单位声明函 报价函 技术商务要求响应表.docx 标的清单 确保文明施工的技术组织措施.docx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计划工期</w:t>
            </w:r>
          </w:p>
        </w:tc>
        <w:tc>
          <w:tcPr>
            <w:tcW w:type="dxa" w:w="3322"/>
          </w:tcPr>
          <w:p>
            <w:pPr>
              <w:pStyle w:val="null3"/>
            </w:pPr>
            <w:r>
              <w:rPr>
                <w:rFonts w:ascii="仿宋_GB2312" w:hAnsi="仿宋_GB2312" w:cs="仿宋_GB2312" w:eastAsia="仿宋_GB2312"/>
              </w:rPr>
              <w:t>应满足磋商文件中要求的计划工期。</w:t>
            </w:r>
          </w:p>
        </w:tc>
        <w:tc>
          <w:tcPr>
            <w:tcW w:type="dxa" w:w="1661"/>
          </w:tcPr>
          <w:p>
            <w:pPr>
              <w:pStyle w:val="null3"/>
            </w:pPr>
            <w:r>
              <w:rPr>
                <w:rFonts w:ascii="仿宋_GB2312" w:hAnsi="仿宋_GB2312" w:cs="仿宋_GB2312" w:eastAsia="仿宋_GB2312"/>
              </w:rPr>
              <w:t>确保安全生产的技术组织措施.docx 施工机械配备和材料投入计划.docx 业绩.docx 已标价工程量清单 中小企业声明函 施工承诺.docx 项目经理部组成人员.docx 确保工期的技术组织措施.docx 资格证明文件.docx 响应文件封面 确保工程质量的技术组织措施.docx 劳动力安排计划.docx 施工方案.docx 残疾人福利性单位声明函 报价函 技术商务要求响应表.docx 标的清单 确保文明施工的技术组织措施.docx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确保安全生产的技术组织措施.docx 施工机械配备和材料投入计划.docx 业绩.docx 已标价工程量清单 中小企业声明函 施工承诺.docx 项目经理部组成人员.docx 确保工期的技术组织措施.docx 资格证明文件.docx 响应文件封面 确保工程质量的技术组织措施.docx 劳动力安排计划.docx 施工方案.docx 残疾人福利性单位声明函 报价函 技术商务要求响应表.docx 标的清单 确保文明施工的技术组织措施.docx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合理、可行、准确、完善、可操作性强，保证措施可靠计0-12分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技术商务要求响应表.docx</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全面、完整、周到、组织措施得力计0-6分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技术商务要求响应表.docx</w:t>
            </w:r>
          </w:p>
          <w:p>
            <w:pPr>
              <w:pStyle w:val="null3"/>
            </w:pPr>
            <w:r>
              <w:rPr>
                <w:rFonts w:ascii="仿宋_GB2312" w:hAnsi="仿宋_GB2312" w:cs="仿宋_GB2312" w:eastAsia="仿宋_GB2312"/>
              </w:rPr>
              <w:t>确保工程质量的技术组织措施.docx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安全生产计划全面周到、完善、环节控制保障措施得力计0-6分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技术商务要求响应表.docx</w:t>
            </w:r>
          </w:p>
          <w:p>
            <w:pPr>
              <w:pStyle w:val="null3"/>
            </w:pPr>
            <w:r>
              <w:rPr>
                <w:rFonts w:ascii="仿宋_GB2312" w:hAnsi="仿宋_GB2312" w:cs="仿宋_GB2312" w:eastAsia="仿宋_GB2312"/>
              </w:rPr>
              <w:t>确保安全生产的技术组织措施.docx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全面、完善、周到、环节控制保障措施得力计0-6分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技术商务要求响应表.docx</w:t>
            </w:r>
          </w:p>
          <w:p>
            <w:pPr>
              <w:pStyle w:val="null3"/>
            </w:pPr>
            <w:r>
              <w:rPr>
                <w:rFonts w:ascii="仿宋_GB2312" w:hAnsi="仿宋_GB2312" w:cs="仿宋_GB2312" w:eastAsia="仿宋_GB2312"/>
              </w:rPr>
              <w:t>确保文明施工的技术组织措施.docx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合理、可行、准确、完整、可操作性强，保证措施可靠计0-6分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技术商务要求响应表.docx</w:t>
            </w:r>
          </w:p>
          <w:p>
            <w:pPr>
              <w:pStyle w:val="null3"/>
            </w:pPr>
            <w:r>
              <w:rPr>
                <w:rFonts w:ascii="仿宋_GB2312" w:hAnsi="仿宋_GB2312" w:cs="仿宋_GB2312" w:eastAsia="仿宋_GB2312"/>
              </w:rPr>
              <w:t>确保工期的技术组织措施.docx</w:t>
            </w:r>
          </w:p>
        </w:tc>
      </w:tr>
      <w:tr>
        <w:tc>
          <w:tcPr>
            <w:tcW w:type="dxa" w:w="831"/>
            <w:vMerge/>
          </w:tcPr>
          <w:p/>
        </w:tc>
        <w:tc>
          <w:tcPr>
            <w:tcW w:type="dxa" w:w="1661"/>
          </w:tcPr>
          <w:p>
            <w:pPr>
              <w:pStyle w:val="null3"/>
            </w:pPr>
            <w:r>
              <w:rPr>
                <w:rFonts w:ascii="仿宋_GB2312" w:hAnsi="仿宋_GB2312" w:cs="仿宋_GB2312" w:eastAsia="仿宋_GB2312"/>
              </w:rPr>
              <w:t>项目经理部组成人员</w:t>
            </w:r>
          </w:p>
        </w:tc>
        <w:tc>
          <w:tcPr>
            <w:tcW w:type="dxa" w:w="2492"/>
          </w:tcPr>
          <w:p>
            <w:pPr>
              <w:pStyle w:val="null3"/>
            </w:pPr>
            <w:r>
              <w:rPr>
                <w:rFonts w:ascii="仿宋_GB2312" w:hAnsi="仿宋_GB2312" w:cs="仿宋_GB2312" w:eastAsia="仿宋_GB2312"/>
              </w:rPr>
              <w:t>提供完善、合理、专业的团队人员，根据供应商提供人员的有效证件等证明材料计0-6分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技术商务要求响应表.docx</w:t>
            </w:r>
          </w:p>
          <w:p>
            <w:pPr>
              <w:pStyle w:val="null3"/>
            </w:pPr>
            <w:r>
              <w:rPr>
                <w:rFonts w:ascii="仿宋_GB2312" w:hAnsi="仿宋_GB2312" w:cs="仿宋_GB2312" w:eastAsia="仿宋_GB2312"/>
              </w:rPr>
              <w:t>项目经理部组成人员.docx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拟投入的主要机具、设备充分、满足项目需要计0-6分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技术商务要求响应表.docx</w:t>
            </w:r>
          </w:p>
          <w:p>
            <w:pPr>
              <w:pStyle w:val="null3"/>
            </w:pPr>
            <w:r>
              <w:rPr>
                <w:rFonts w:ascii="仿宋_GB2312" w:hAnsi="仿宋_GB2312" w:cs="仿宋_GB2312" w:eastAsia="仿宋_GB2312"/>
              </w:rPr>
              <w:t>施工机械配备和材料投入计划.docx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拟投入劳动力充分、满足项目需要计0-6分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技术商务要求响应表.docx</w:t>
            </w:r>
          </w:p>
          <w:p>
            <w:pPr>
              <w:pStyle w:val="null3"/>
            </w:pPr>
            <w:r>
              <w:rPr>
                <w:rFonts w:ascii="仿宋_GB2312" w:hAnsi="仿宋_GB2312" w:cs="仿宋_GB2312" w:eastAsia="仿宋_GB2312"/>
              </w:rPr>
              <w:t>劳动力安排计划.docx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根据供应商为保证工程质量所做的承诺及配套服务（包括但不限于具体的服务内容、响应时间、响应方式、响应计划、服务承诺等）进行综合比较计0-6分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技术商务要求响应表.docx</w:t>
            </w:r>
          </w:p>
          <w:p>
            <w:pPr>
              <w:pStyle w:val="null3"/>
            </w:pPr>
            <w:r>
              <w:rPr>
                <w:rFonts w:ascii="仿宋_GB2312" w:hAnsi="仿宋_GB2312" w:cs="仿宋_GB2312" w:eastAsia="仿宋_GB2312"/>
              </w:rPr>
              <w:t>施工承诺.docx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提供2022年1月至今承接过类似的项目业绩，每提供一份得2分，最高得10分；没有提供不得分。（业绩需提供项目中标通知书或施工合同盖章复印件）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技术商务要求响应表.docx</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磋商报价得分=(磋商基准价／磋商报价)×30%×100 计算分数时四舍五入取小数点后两位 注：因落实政府采购政策进行价格调整的，以调整后的价格计算评标基准价和磋商报价。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详见附件：技术商务要求响应表.docx</w:t>
      </w:r>
    </w:p>
    <w:p>
      <w:pPr>
        <w:pStyle w:val="null3"/>
        <w:ind w:firstLine="960"/>
      </w:pPr>
      <w:r>
        <w:rPr>
          <w:rFonts w:ascii="仿宋_GB2312" w:hAnsi="仿宋_GB2312" w:cs="仿宋_GB2312" w:eastAsia="仿宋_GB2312"/>
        </w:rPr>
        <w:t>详见附件：施工方案.docx</w:t>
      </w:r>
    </w:p>
    <w:p>
      <w:pPr>
        <w:pStyle w:val="null3"/>
        <w:ind w:firstLine="960"/>
      </w:pPr>
      <w:r>
        <w:rPr>
          <w:rFonts w:ascii="仿宋_GB2312" w:hAnsi="仿宋_GB2312" w:cs="仿宋_GB2312" w:eastAsia="仿宋_GB2312"/>
        </w:rPr>
        <w:t>详见附件：确保工程质量的技术组织措施.docx</w:t>
      </w:r>
    </w:p>
    <w:p>
      <w:pPr>
        <w:pStyle w:val="null3"/>
        <w:ind w:firstLine="960"/>
      </w:pPr>
      <w:r>
        <w:rPr>
          <w:rFonts w:ascii="仿宋_GB2312" w:hAnsi="仿宋_GB2312" w:cs="仿宋_GB2312" w:eastAsia="仿宋_GB2312"/>
        </w:rPr>
        <w:t>详见附件：确保安全生产的技术组织措施.docx</w:t>
      </w:r>
    </w:p>
    <w:p>
      <w:pPr>
        <w:pStyle w:val="null3"/>
        <w:ind w:firstLine="960"/>
      </w:pPr>
      <w:r>
        <w:rPr>
          <w:rFonts w:ascii="仿宋_GB2312" w:hAnsi="仿宋_GB2312" w:cs="仿宋_GB2312" w:eastAsia="仿宋_GB2312"/>
        </w:rPr>
        <w:t>详见附件：确保文明施工的技术组织措施.docx</w:t>
      </w:r>
    </w:p>
    <w:p>
      <w:pPr>
        <w:pStyle w:val="null3"/>
        <w:ind w:firstLine="960"/>
      </w:pPr>
      <w:r>
        <w:rPr>
          <w:rFonts w:ascii="仿宋_GB2312" w:hAnsi="仿宋_GB2312" w:cs="仿宋_GB2312" w:eastAsia="仿宋_GB2312"/>
        </w:rPr>
        <w:t>详见附件：确保工期的技术组织措施.docx</w:t>
      </w:r>
    </w:p>
    <w:p>
      <w:pPr>
        <w:pStyle w:val="null3"/>
        <w:ind w:firstLine="960"/>
      </w:pPr>
      <w:r>
        <w:rPr>
          <w:rFonts w:ascii="仿宋_GB2312" w:hAnsi="仿宋_GB2312" w:cs="仿宋_GB2312" w:eastAsia="仿宋_GB2312"/>
        </w:rPr>
        <w:t>详见附件：项目经理部组成人员.docx</w:t>
      </w:r>
    </w:p>
    <w:p>
      <w:pPr>
        <w:pStyle w:val="null3"/>
        <w:ind w:firstLine="960"/>
      </w:pPr>
      <w:r>
        <w:rPr>
          <w:rFonts w:ascii="仿宋_GB2312" w:hAnsi="仿宋_GB2312" w:cs="仿宋_GB2312" w:eastAsia="仿宋_GB2312"/>
        </w:rPr>
        <w:t>详见附件：施工机械配备和材料投入计划.docx</w:t>
      </w:r>
    </w:p>
    <w:p>
      <w:pPr>
        <w:pStyle w:val="null3"/>
        <w:ind w:firstLine="960"/>
      </w:pPr>
      <w:r>
        <w:rPr>
          <w:rFonts w:ascii="仿宋_GB2312" w:hAnsi="仿宋_GB2312" w:cs="仿宋_GB2312" w:eastAsia="仿宋_GB2312"/>
        </w:rPr>
        <w:t>详见附件：劳动力安排计划.docx</w:t>
      </w:r>
    </w:p>
    <w:p>
      <w:pPr>
        <w:pStyle w:val="null3"/>
        <w:ind w:firstLine="960"/>
      </w:pPr>
      <w:r>
        <w:rPr>
          <w:rFonts w:ascii="仿宋_GB2312" w:hAnsi="仿宋_GB2312" w:cs="仿宋_GB2312" w:eastAsia="仿宋_GB2312"/>
        </w:rPr>
        <w:t>详见附件：施工承诺.docx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详见附件：陕西省建设工程施工合同.docx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