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版本号：SXZRHCG-[2025]-039.1B220250825001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2025年老年人意外伤害保险(三次)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SXZRHCG-[2025]-039.1B2</w:t>
      </w:r>
      <w:r>
        <w:br/>
      </w:r>
      <w:r>
        <w:br/>
      </w:r>
      <w:r>
        <w:br/>
      </w:r>
    </w:p>
    <w:p>
      <w:pPr>
        <w:pStyle w:val="null3"/>
        <w:jc w:val="center"/>
        <w:outlineLvl w:val="2"/>
      </w:pPr>
      <w:r>
        <w:rPr>
          <w:rFonts w:ascii="仿宋_GB2312" w:hAnsi="仿宋_GB2312" w:cs="仿宋_GB2312" w:eastAsia="仿宋_GB2312"/>
          <w:sz w:val="28"/>
          <w:b/>
        </w:rPr>
        <w:t>西安市临潼区民政局</w:t>
      </w:r>
    </w:p>
    <w:p>
      <w:pPr>
        <w:pStyle w:val="null3"/>
        <w:jc w:val="center"/>
        <w:outlineLvl w:val="2"/>
      </w:pPr>
      <w:r>
        <w:rPr>
          <w:rFonts w:ascii="仿宋_GB2312" w:hAnsi="仿宋_GB2312" w:cs="仿宋_GB2312" w:eastAsia="仿宋_GB2312"/>
          <w:sz w:val="28"/>
          <w:b/>
        </w:rPr>
        <w:t>陕西志睿合建设项目管理有限公司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陕西志睿合建设项目管理有限公司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西安市临潼区民政局</w:t>
      </w:r>
      <w:r>
        <w:rPr>
          <w:rFonts w:ascii="仿宋_GB2312" w:hAnsi="仿宋_GB2312" w:cs="仿宋_GB2312" w:eastAsia="仿宋_GB2312"/>
        </w:rPr>
        <w:t>委托，拟对</w:t>
      </w:r>
      <w:r>
        <w:rPr>
          <w:rFonts w:ascii="仿宋_GB2312" w:hAnsi="仿宋_GB2312" w:cs="仿宋_GB2312" w:eastAsia="仿宋_GB2312"/>
        </w:rPr>
        <w:t>2025年老年人意外伤害保险(三次)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SXZRHCG-[2025]-039.1B2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2025年老年人意外伤害保险(三次)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政府出资为符合“政府补贴对象”条件之一的老年人购买一份（若老年人符合两个及以上条件的，政府出资有且只有一份）保险。60 周岁及以上享受城乡最低生活保障待遇人员、城乡特困供养人员、享受国家定期抚恤补助优抚对象中居家养老的老人和 80周岁及以上居家养老的老人。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1、特定资格条件：未被列为“信用中国”网（www.creditchina.gov.cn）中失信被执行人和重大税收违法失信主体名单及中国政府采购网（www.ccgp.gov.cn）政府采购严重违法失信行为记录名单。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李建锋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029-83873863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陕西志睿合建设项目管理有限公司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陕西省西安市新城区陕西省西安市新城区石家街127号东岸国际7层0704室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黄艳平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13379009956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采购包1：592,980.00元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参照原国家计委颁发的《招标代理服务收费管理暂行办法》（计价格〔2002〕1980号）和国家发展和改革委员会办公厅颁发的《关于招标代理服务收费有关问题的通知》（发改办价格〔2003〕857号）的有关规定标准，中标（成交）供应商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西安市临潼区民政局</w:t>
      </w:r>
      <w:r>
        <w:rPr>
          <w:rFonts w:ascii="仿宋_GB2312" w:hAnsi="仿宋_GB2312" w:cs="仿宋_GB2312" w:eastAsia="仿宋_GB2312"/>
        </w:rPr>
        <w:t>和</w:t>
      </w:r>
      <w:r>
        <w:rPr>
          <w:rFonts w:ascii="仿宋_GB2312" w:hAnsi="仿宋_GB2312" w:cs="仿宋_GB2312" w:eastAsia="仿宋_GB2312"/>
        </w:rPr>
        <w:t>陕西志睿合建设项目管理有限公司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陕西志睿合建设项目管理有限公司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陕西志睿合建设项目管理有限公司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联系人：黄艳平</w:t>
      </w:r>
    </w:p>
    <w:p>
      <w:pPr>
        <w:pStyle w:val="null3"/>
      </w:pPr>
      <w:r>
        <w:rPr>
          <w:rFonts w:ascii="仿宋_GB2312" w:hAnsi="仿宋_GB2312" w:cs="仿宋_GB2312" w:eastAsia="仿宋_GB2312"/>
        </w:rPr>
        <w:t>联系电话：13379009956</w:t>
      </w:r>
    </w:p>
    <w:p>
      <w:pPr>
        <w:pStyle w:val="null3"/>
      </w:pPr>
      <w:r>
        <w:rPr>
          <w:rFonts w:ascii="仿宋_GB2312" w:hAnsi="仿宋_GB2312" w:cs="仿宋_GB2312" w:eastAsia="仿宋_GB2312"/>
        </w:rPr>
        <w:t>地址：陕西省西安市新城区石家街127号东岸国际7层0704室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政府出资为符合“政府补贴对象”条件之一的老年人购买一份（若老年人符合两个及以上条件的，政府出资有且只有一份）保险。60 周岁及以上享受城乡最低生活保障待遇人员、城乡特困供养人员、享受国家定期抚恤补助优抚对象中居家养老的老人和 80周岁及以上居家养老的老人。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592,980.00</w:t>
      </w:r>
    </w:p>
    <w:p>
      <w:pPr>
        <w:pStyle w:val="null3"/>
      </w:pPr>
      <w:r>
        <w:rPr>
          <w:rFonts w:ascii="仿宋_GB2312" w:hAnsi="仿宋_GB2312" w:cs="仿宋_GB2312" w:eastAsia="仿宋_GB2312"/>
        </w:rPr>
        <w:t>采购包最高限价（元）: 592,980.00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2025年老年人意外伤害保险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592,980.00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标的名称：2025年老年人意外伤害保险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jc w:val="both"/>
            </w:pPr>
            <w:r>
              <w:rPr>
                <w:rFonts w:ascii="仿宋_GB2312" w:hAnsi="仿宋_GB2312" w:cs="仿宋_GB2312" w:eastAsia="仿宋_GB2312"/>
                <w:sz w:val="21"/>
                <w:b/>
                <w:color w:val="030303"/>
                <w:shd w:fill="FFFFFF" w:val="clear"/>
              </w:rPr>
              <w:t>一、招标内容</w:t>
            </w:r>
          </w:p>
          <w:p>
            <w:pPr>
              <w:pStyle w:val="null3"/>
              <w:spacing w:before="105"/>
              <w:ind w:firstLine="420"/>
              <w:jc w:val="both"/>
            </w:pPr>
            <w:r>
              <w:rPr>
                <w:rFonts w:ascii="仿宋_GB2312" w:hAnsi="仿宋_GB2312" w:cs="仿宋_GB2312" w:eastAsia="仿宋_GB2312"/>
                <w:sz w:val="21"/>
                <w:color w:val="030303"/>
                <w:shd w:fill="FFFFFF" w:val="clear"/>
              </w:rPr>
              <w:t>保险费标准为每人</w:t>
            </w:r>
            <w:r>
              <w:rPr>
                <w:rFonts w:ascii="仿宋_GB2312" w:hAnsi="仿宋_GB2312" w:cs="仿宋_GB2312" w:eastAsia="仿宋_GB2312"/>
                <w:sz w:val="21"/>
                <w:color w:val="030303"/>
                <w:shd w:fill="FFFFFF" w:val="clear"/>
              </w:rPr>
              <w:t>20元/份/年。允许投保人购买多份保险。</w:t>
            </w:r>
          </w:p>
          <w:p>
            <w:pPr>
              <w:pStyle w:val="null3"/>
              <w:spacing w:before="105"/>
              <w:ind w:firstLine="420"/>
              <w:jc w:val="both"/>
            </w:pPr>
            <w:r>
              <w:rPr>
                <w:rFonts w:ascii="仿宋_GB2312" w:hAnsi="仿宋_GB2312" w:cs="仿宋_GB2312" w:eastAsia="仿宋_GB2312"/>
                <w:sz w:val="21"/>
                <w:color w:val="030303"/>
                <w:shd w:fill="FFFFFF" w:val="clear"/>
              </w:rPr>
              <w:t>政府出资为符合</w:t>
            </w:r>
            <w:r>
              <w:rPr>
                <w:rFonts w:ascii="仿宋_GB2312" w:hAnsi="仿宋_GB2312" w:cs="仿宋_GB2312" w:eastAsia="仿宋_GB2312"/>
                <w:sz w:val="21"/>
                <w:color w:val="030303"/>
                <w:shd w:fill="FFFFFF" w:val="clear"/>
              </w:rPr>
              <w:t>“政府补贴对象”条件之一的老年人购买一份（若老年人符合两个及以上条件的，政府出资有且只有一份）保险。</w:t>
            </w:r>
          </w:p>
          <w:p>
            <w:pPr>
              <w:pStyle w:val="null3"/>
              <w:spacing w:before="105"/>
              <w:ind w:firstLine="420"/>
              <w:jc w:val="both"/>
            </w:pPr>
            <w:r>
              <w:rPr>
                <w:rFonts w:ascii="仿宋_GB2312" w:hAnsi="仿宋_GB2312" w:cs="仿宋_GB2312" w:eastAsia="仿宋_GB2312"/>
                <w:sz w:val="21"/>
                <w:color w:val="030303"/>
                <w:shd w:fill="FFFFFF" w:val="clear"/>
              </w:rPr>
              <w:t>非政府出资的符合</w:t>
            </w:r>
            <w:r>
              <w:rPr>
                <w:rFonts w:ascii="仿宋_GB2312" w:hAnsi="仿宋_GB2312" w:cs="仿宋_GB2312" w:eastAsia="仿宋_GB2312"/>
                <w:sz w:val="21"/>
                <w:color w:val="030303"/>
                <w:shd w:fill="FFFFFF" w:val="clear"/>
              </w:rPr>
              <w:t>“参保对象”条件的老年人同样享受西安市老年人意外伤害保险的价格、保障及相关服务；企事业单位、社会组织和个人作为投保人为老年人集体购买的保险也同样享受统筹保险的价格、保障及相关服务。</w:t>
            </w:r>
          </w:p>
          <w:p>
            <w:pPr>
              <w:pStyle w:val="null3"/>
              <w:jc w:val="both"/>
            </w:pPr>
            <w:r>
              <w:rPr>
                <w:rFonts w:ascii="仿宋_GB2312" w:hAnsi="仿宋_GB2312" w:cs="仿宋_GB2312" w:eastAsia="仿宋_GB2312"/>
                <w:sz w:val="21"/>
                <w:b/>
                <w:color w:val="030303"/>
                <w:shd w:fill="FFFFFF" w:val="clear"/>
              </w:rPr>
              <w:t>二、保障人群</w:t>
            </w:r>
          </w:p>
          <w:tbl>
            <w:tblPr>
              <w:tblInd w:type="dxa" w:w="135"/>
              <w:tblBorders>
                <w:top w:val="none" w:color="000000" w:sz="4"/>
                <w:left w:val="none" w:color="000000" w:sz="4"/>
                <w:bottom w:val="none" w:color="000000" w:sz="4"/>
                <w:right w:val="none" w:color="000000" w:sz="4"/>
                <w:insideH w:val="none"/>
                <w:insideV w:val="none"/>
              </w:tblBorders>
            </w:tblPr>
            <w:tblGrid>
              <w:gridCol w:w="247"/>
              <w:gridCol w:w="366"/>
              <w:gridCol w:w="1168"/>
              <w:gridCol w:w="765"/>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b/>
                    </w:rPr>
                    <w:t>序号</w:t>
                  </w:r>
                </w:p>
              </w:tc>
              <w:tc>
                <w:tcPr>
                  <w:tcW w:type="dxa" w:w="3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b/>
                    </w:rPr>
                    <w:t>保险责任</w:t>
                  </w:r>
                </w:p>
              </w:tc>
              <w:tc>
                <w:tcPr>
                  <w:tcW w:type="dxa" w:w="11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firstLine="1680"/>
                    <w:jc w:val="left"/>
                  </w:pPr>
                  <w:r>
                    <w:rPr>
                      <w:rFonts w:ascii="仿宋_GB2312" w:hAnsi="仿宋_GB2312" w:cs="仿宋_GB2312" w:eastAsia="仿宋_GB2312"/>
                      <w:sz w:val="21"/>
                      <w:b/>
                    </w:rPr>
                    <w:t>参保人群</w:t>
                  </w:r>
                </w:p>
              </w:tc>
              <w:tc>
                <w:tcPr>
                  <w:tcW w:type="dxa" w:w="7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firstLine="560"/>
                    <w:jc w:val="left"/>
                  </w:pPr>
                  <w:r>
                    <w:rPr>
                      <w:rFonts w:ascii="仿宋_GB2312" w:hAnsi="仿宋_GB2312" w:cs="仿宋_GB2312" w:eastAsia="仿宋_GB2312"/>
                      <w:sz w:val="21"/>
                      <w:b/>
                    </w:rPr>
                    <w:t>数量</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rPr>
                    <w:t>1</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rPr>
                    <w:t>老年人意外伤害保险</w:t>
                  </w:r>
                </w:p>
              </w:tc>
              <w:tc>
                <w:tcPr>
                  <w:tcW w:type="dxa" w:w="11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420"/>
                    <w:jc w:val="left"/>
                  </w:pPr>
                  <w:r>
                    <w:rPr>
                      <w:rFonts w:ascii="仿宋_GB2312" w:hAnsi="仿宋_GB2312" w:cs="仿宋_GB2312" w:eastAsia="仿宋_GB2312"/>
                      <w:sz w:val="21"/>
                    </w:rPr>
                    <w:t>西安市</w:t>
                  </w:r>
                  <w:r>
                    <w:rPr>
                      <w:rFonts w:ascii="仿宋_GB2312" w:hAnsi="仿宋_GB2312" w:cs="仿宋_GB2312" w:eastAsia="仿宋_GB2312"/>
                      <w:sz w:val="21"/>
                    </w:rPr>
                    <w:t>60周岁以上享受城乡最低生活保障待遇人员、城镇“三无”人员、农村“五保”对象及重点优抚对象中居家养老的老人和80周岁以上居家养老的老人。</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“政府补贴人群”预计</w:t>
                  </w:r>
                  <w:r>
                    <w:rPr>
                      <w:rFonts w:ascii="仿宋_GB2312" w:hAnsi="仿宋_GB2312" w:cs="仿宋_GB2312" w:eastAsia="仿宋_GB2312"/>
                      <w:sz w:val="21"/>
                      <w:shd w:fill="FFFFFF" w:val="clear"/>
                    </w:rPr>
                    <w:t>2.9649</w:t>
                  </w:r>
                  <w:r>
                    <w:rPr>
                      <w:rFonts w:ascii="仿宋_GB2312" w:hAnsi="仿宋_GB2312" w:cs="仿宋_GB2312" w:eastAsia="仿宋_GB2312"/>
                      <w:sz w:val="21"/>
                    </w:rPr>
                    <w:t>万人，保险费标准为每人</w:t>
                  </w:r>
                  <w:r>
                    <w:rPr>
                      <w:rFonts w:ascii="仿宋_GB2312" w:hAnsi="仿宋_GB2312" w:cs="仿宋_GB2312" w:eastAsia="仿宋_GB2312"/>
                      <w:sz w:val="21"/>
                    </w:rPr>
                    <w:t>20元/份/年。</w:t>
                  </w:r>
                  <w:r>
                    <w:rPr>
                      <w:rFonts w:ascii="仿宋_GB2312" w:hAnsi="仿宋_GB2312" w:cs="仿宋_GB2312" w:eastAsia="仿宋_GB2312"/>
                      <w:sz w:val="21"/>
                    </w:rPr>
                    <w:t>最终以实际参保人数为准。</w:t>
                  </w:r>
                </w:p>
              </w:tc>
            </w:tr>
          </w:tbl>
          <w:p>
            <w:pPr>
              <w:pStyle w:val="null3"/>
              <w:jc w:val="both"/>
            </w:pPr>
            <w:r>
              <w:rPr>
                <w:rFonts w:ascii="仿宋_GB2312" w:hAnsi="仿宋_GB2312" w:cs="仿宋_GB2312" w:eastAsia="仿宋_GB2312"/>
                <w:sz w:val="21"/>
                <w:b/>
                <w:color w:val="030303"/>
                <w:shd w:fill="FFFFFF" w:val="clear"/>
              </w:rPr>
              <w:t>三、保险种类</w:t>
            </w:r>
          </w:p>
          <w:tbl>
            <w:tblPr>
              <w:tblBorders>
                <w:top w:val="none" w:color="000000" w:sz="4"/>
                <w:left w:val="none" w:color="000000" w:sz="4"/>
                <w:bottom w:val="none" w:color="000000" w:sz="4"/>
                <w:right w:val="none" w:color="000000" w:sz="4"/>
                <w:insideH w:val="none"/>
                <w:insideV w:val="none"/>
              </w:tblBorders>
            </w:tblPr>
            <w:tblGrid>
              <w:gridCol w:w="962"/>
              <w:gridCol w:w="1582"/>
            </w:tblGrid>
            <w:tr>
              <w:tc>
                <w:tcPr>
                  <w:tcW w:type="dxa" w:w="9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b/>
                    </w:rPr>
                    <w:t>保险范围</w:t>
                  </w:r>
                </w:p>
              </w:tc>
              <w:tc>
                <w:tcPr>
                  <w:tcW w:type="dxa" w:w="15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仿宋_GB2312" w:hAnsi="仿宋_GB2312" w:cs="仿宋_GB2312" w:eastAsia="仿宋_GB2312"/>
                      <w:sz w:val="21"/>
                      <w:b/>
                    </w:rPr>
                    <w:t>赔偿限额</w:t>
                  </w:r>
                </w:p>
              </w:tc>
            </w:tr>
            <w:tr>
              <w:tc>
                <w:tcPr>
                  <w:tcW w:type="dxa" w:w="96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各类居家养老服务机构内</w:t>
                  </w: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意外身故最高赔偿限额</w:t>
                  </w:r>
                  <w:r>
                    <w:rPr>
                      <w:rFonts w:ascii="仿宋_GB2312" w:hAnsi="仿宋_GB2312" w:cs="仿宋_GB2312" w:eastAsia="仿宋_GB2312"/>
                      <w:sz w:val="21"/>
                    </w:rPr>
                    <w:t>60000元/人</w:t>
                  </w:r>
                </w:p>
              </w:tc>
            </w:tr>
            <w:tr>
              <w:tc>
                <w:tcPr>
                  <w:tcW w:type="dxa" w:w="962"/>
                  <w:vMerge/>
                  <w:tcBorders>
                    <w:top w:val="none" w:color="000000" w:sz="4"/>
                    <w:left w:val="single" w:color="000000" w:sz="4"/>
                    <w:bottom w:val="single" w:color="000000" w:sz="4"/>
                    <w:right w:val="single" w:color="000000" w:sz="4"/>
                  </w:tcBorders>
                </w:tcP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意外残疾最高赔偿限额</w:t>
                  </w:r>
                  <w:r>
                    <w:rPr>
                      <w:rFonts w:ascii="仿宋_GB2312" w:hAnsi="仿宋_GB2312" w:cs="仿宋_GB2312" w:eastAsia="仿宋_GB2312"/>
                      <w:sz w:val="21"/>
                    </w:rPr>
                    <w:t>60000元/人</w:t>
                  </w:r>
                </w:p>
              </w:tc>
            </w:tr>
            <w:tr>
              <w:tc>
                <w:tcPr>
                  <w:tcW w:type="dxa" w:w="962"/>
                  <w:vMerge/>
                  <w:tcBorders>
                    <w:top w:val="none" w:color="000000" w:sz="4"/>
                    <w:left w:val="single" w:color="000000" w:sz="4"/>
                    <w:bottom w:val="single" w:color="000000" w:sz="4"/>
                    <w:right w:val="single" w:color="000000" w:sz="4"/>
                  </w:tcBorders>
                </w:tcP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意外伤害医疗费最高赔偿限额</w:t>
                  </w:r>
                  <w:r>
                    <w:rPr>
                      <w:rFonts w:ascii="仿宋_GB2312" w:hAnsi="仿宋_GB2312" w:cs="仿宋_GB2312" w:eastAsia="仿宋_GB2312"/>
                      <w:sz w:val="21"/>
                    </w:rPr>
                    <w:t>10000元/人</w:t>
                  </w:r>
                </w:p>
              </w:tc>
            </w:tr>
            <w:tr>
              <w:tc>
                <w:tcPr>
                  <w:tcW w:type="dxa" w:w="96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1.居所、庭院、小区内、小区周围广场、道路等日常生活空间；</w:t>
                  </w:r>
                </w:p>
                <w:p>
                  <w:pPr>
                    <w:pStyle w:val="null3"/>
                    <w:spacing w:before="105" w:after="105"/>
                    <w:ind w:left="105"/>
                    <w:jc w:val="left"/>
                  </w:pPr>
                  <w:r>
                    <w:rPr>
                      <w:rFonts w:ascii="仿宋_GB2312" w:hAnsi="仿宋_GB2312" w:cs="仿宋_GB2312" w:eastAsia="仿宋_GB2312"/>
                      <w:sz w:val="21"/>
                    </w:rPr>
                    <w:t>2.农贸市场、超市、宾馆、饭店等营业性服务场所及上述列明范围外的其他区域。</w:t>
                  </w: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意外身故最高赔偿限额</w:t>
                  </w:r>
                  <w:r>
                    <w:rPr>
                      <w:rFonts w:ascii="仿宋_GB2312" w:hAnsi="仿宋_GB2312" w:cs="仿宋_GB2312" w:eastAsia="仿宋_GB2312"/>
                      <w:sz w:val="21"/>
                    </w:rPr>
                    <w:t>20000元/人</w:t>
                  </w:r>
                </w:p>
              </w:tc>
            </w:tr>
            <w:tr>
              <w:tc>
                <w:tcPr>
                  <w:tcW w:type="dxa" w:w="962"/>
                  <w:vMerge/>
                  <w:tcBorders>
                    <w:top w:val="none" w:color="000000" w:sz="4"/>
                    <w:left w:val="single" w:color="000000" w:sz="4"/>
                    <w:bottom w:val="single" w:color="000000" w:sz="4"/>
                    <w:right w:val="single" w:color="000000" w:sz="4"/>
                  </w:tcBorders>
                </w:tcP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意外残疾最高赔偿限额</w:t>
                  </w:r>
                  <w:r>
                    <w:rPr>
                      <w:rFonts w:ascii="仿宋_GB2312" w:hAnsi="仿宋_GB2312" w:cs="仿宋_GB2312" w:eastAsia="仿宋_GB2312"/>
                      <w:sz w:val="21"/>
                    </w:rPr>
                    <w:t>20000元/人</w:t>
                  </w:r>
                </w:p>
              </w:tc>
            </w:tr>
            <w:tr>
              <w:tc>
                <w:tcPr>
                  <w:tcW w:type="dxa" w:w="962"/>
                  <w:vMerge/>
                  <w:tcBorders>
                    <w:top w:val="none" w:color="000000" w:sz="4"/>
                    <w:left w:val="single" w:color="000000" w:sz="4"/>
                    <w:bottom w:val="single" w:color="000000" w:sz="4"/>
                    <w:right w:val="single" w:color="000000" w:sz="4"/>
                  </w:tcBorders>
                </w:tcPr>
                <w:p/>
              </w:tc>
              <w:tc>
                <w:tcPr>
                  <w:tcW w:type="dxa" w:w="1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意外伤害医疗费最高赔偿限额</w:t>
                  </w:r>
                  <w:r>
                    <w:rPr>
                      <w:rFonts w:ascii="仿宋_GB2312" w:hAnsi="仿宋_GB2312" w:cs="仿宋_GB2312" w:eastAsia="仿宋_GB2312"/>
                      <w:sz w:val="21"/>
                    </w:rPr>
                    <w:t>3000元/人</w:t>
                  </w:r>
                </w:p>
              </w:tc>
            </w:tr>
            <w:tr>
              <w:tc>
                <w:tcPr>
                  <w:tcW w:type="dxa" w:w="254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仿宋_GB2312" w:hAnsi="仿宋_GB2312" w:cs="仿宋_GB2312" w:eastAsia="仿宋_GB2312"/>
                      <w:sz w:val="21"/>
                    </w:rPr>
                    <w:t>备注：</w:t>
                  </w:r>
                </w:p>
                <w:p>
                  <w:pPr>
                    <w:pStyle w:val="null3"/>
                    <w:spacing w:before="105" w:after="105"/>
                    <w:ind w:left="420"/>
                    <w:jc w:val="left"/>
                  </w:pPr>
                  <w:r>
                    <w:rPr>
                      <w:rFonts w:ascii="仿宋_GB2312" w:hAnsi="仿宋_GB2312" w:cs="仿宋_GB2312" w:eastAsia="仿宋_GB2312"/>
                      <w:sz w:val="21"/>
                    </w:rPr>
                    <w:t>1.意外伤害住院津贴：30元/天/人/份；全年住院累计最长赔偿180天。</w:t>
                  </w:r>
                </w:p>
                <w:p>
                  <w:pPr>
                    <w:pStyle w:val="null3"/>
                    <w:spacing w:before="105" w:after="105"/>
                    <w:ind w:left="420"/>
                    <w:jc w:val="left"/>
                  </w:pPr>
                  <w:r>
                    <w:rPr>
                      <w:rFonts w:ascii="仿宋_GB2312" w:hAnsi="仿宋_GB2312" w:cs="仿宋_GB2312" w:eastAsia="仿宋_GB2312"/>
                      <w:sz w:val="21"/>
                    </w:rPr>
                    <w:t>2.意外医疗费免赔额：100元/次。</w:t>
                  </w:r>
                </w:p>
                <w:p>
                  <w:pPr>
                    <w:pStyle w:val="null3"/>
                    <w:spacing w:before="105" w:after="105"/>
                    <w:ind w:left="420"/>
                    <w:jc w:val="both"/>
                  </w:pPr>
                  <w:r>
                    <w:rPr>
                      <w:rFonts w:ascii="仿宋_GB2312" w:hAnsi="仿宋_GB2312" w:cs="仿宋_GB2312" w:eastAsia="仿宋_GB2312"/>
                      <w:sz w:val="21"/>
                    </w:rPr>
                    <w:t>3.意外医疗费赔付比例：通过医保先行赔付的意外医疗费，剩余部分在医保赔付的范围内保险人同意</w:t>
                  </w:r>
                </w:p>
                <w:p>
                  <w:pPr>
                    <w:pStyle w:val="null3"/>
                    <w:spacing w:before="105" w:after="105"/>
                    <w:ind w:left="420"/>
                    <w:jc w:val="both"/>
                  </w:pPr>
                  <w:r>
                    <w:rPr>
                      <w:rFonts w:ascii="仿宋_GB2312" w:hAnsi="仿宋_GB2312" w:cs="仿宋_GB2312" w:eastAsia="仿宋_GB2312"/>
                      <w:sz w:val="21"/>
                    </w:rPr>
                    <w:t>按照</w:t>
                  </w:r>
                  <w:r>
                    <w:rPr>
                      <w:rFonts w:ascii="仿宋_GB2312" w:hAnsi="仿宋_GB2312" w:cs="仿宋_GB2312" w:eastAsia="仿宋_GB2312"/>
                      <w:sz w:val="21"/>
                    </w:rPr>
                    <w:t>100%赔付；不通过医保直接向保险人赔付的意外医疗费，在医保赔付的范围内保险人同意按照</w:t>
                  </w:r>
                </w:p>
                <w:p>
                  <w:pPr>
                    <w:pStyle w:val="null3"/>
                    <w:spacing w:before="105" w:after="105"/>
                    <w:ind w:left="420"/>
                    <w:jc w:val="both"/>
                  </w:pPr>
                  <w:r>
                    <w:rPr>
                      <w:rFonts w:ascii="仿宋_GB2312" w:hAnsi="仿宋_GB2312" w:cs="仿宋_GB2312" w:eastAsia="仿宋_GB2312"/>
                      <w:sz w:val="21"/>
                    </w:rPr>
                    <w:t>70%赔付。</w:t>
                  </w:r>
                </w:p>
                <w:p>
                  <w:pPr>
                    <w:pStyle w:val="null3"/>
                    <w:spacing w:before="105" w:after="105"/>
                    <w:ind w:left="420"/>
                    <w:jc w:val="left"/>
                  </w:pPr>
                  <w:r>
                    <w:rPr>
                      <w:rFonts w:ascii="仿宋_GB2312" w:hAnsi="仿宋_GB2312" w:cs="仿宋_GB2312" w:eastAsia="仿宋_GB2312"/>
                      <w:sz w:val="21"/>
                    </w:rPr>
                    <w:t>4.对个别漏保的“政府补贴人群”中的老年人，需要保险公司纳入当年保障范围。其保费于下个年度补缴。</w:t>
                  </w:r>
                </w:p>
              </w:tc>
            </w:tr>
          </w:tbl>
          <w:p>
            <w:pPr>
              <w:pStyle w:val="null3"/>
              <w:spacing w:before="105"/>
              <w:jc w:val="both"/>
            </w:pPr>
            <w:r>
              <w:rPr>
                <w:rFonts w:ascii="仿宋_GB2312" w:hAnsi="仿宋_GB2312" w:cs="仿宋_GB2312" w:eastAsia="仿宋_GB2312"/>
                <w:sz w:val="21"/>
                <w:b/>
                <w:color w:val="030303"/>
                <w:shd w:fill="FFFFFF" w:val="clear"/>
              </w:rPr>
              <w:t>四、保险期限及责任期限</w:t>
            </w:r>
          </w:p>
          <w:p>
            <w:pPr>
              <w:pStyle w:val="null3"/>
              <w:spacing w:before="105"/>
              <w:ind w:firstLine="422"/>
              <w:jc w:val="both"/>
            </w:pPr>
            <w:r>
              <w:rPr>
                <w:rFonts w:ascii="仿宋_GB2312" w:hAnsi="仿宋_GB2312" w:cs="仿宋_GB2312" w:eastAsia="仿宋_GB2312"/>
                <w:sz w:val="21"/>
                <w:b/>
                <w:shd w:fill="FFFFFF" w:val="clear"/>
              </w:rPr>
              <w:t>保险期限：</w:t>
            </w:r>
            <w:r>
              <w:rPr>
                <w:rFonts w:ascii="仿宋_GB2312" w:hAnsi="仿宋_GB2312" w:cs="仿宋_GB2312" w:eastAsia="仿宋_GB2312"/>
                <w:sz w:val="21"/>
                <w:b/>
                <w:shd w:fill="FFFFFF" w:val="clear"/>
              </w:rPr>
              <w:t>一年</w:t>
            </w:r>
            <w:r>
              <w:rPr>
                <w:rFonts w:ascii="仿宋_GB2312" w:hAnsi="仿宋_GB2312" w:cs="仿宋_GB2312" w:eastAsia="仿宋_GB2312"/>
                <w:sz w:val="21"/>
                <w:b/>
                <w:shd w:fill="FFFFFF" w:val="clear"/>
              </w:rPr>
              <w:t>。</w:t>
            </w:r>
          </w:p>
          <w:p>
            <w:pPr>
              <w:pStyle w:val="null3"/>
              <w:spacing w:before="105"/>
              <w:ind w:firstLine="420"/>
              <w:jc w:val="both"/>
            </w:pPr>
            <w:r>
              <w:rPr>
                <w:rFonts w:ascii="仿宋_GB2312" w:hAnsi="仿宋_GB2312" w:cs="仿宋_GB2312" w:eastAsia="仿宋_GB2312"/>
                <w:sz w:val="21"/>
                <w:color w:val="030303"/>
                <w:shd w:fill="FFFFFF" w:val="clear"/>
              </w:rPr>
              <w:t>在保险期限内被保险人发生保险责任事故，责任期限为</w:t>
            </w:r>
            <w:r>
              <w:rPr>
                <w:rFonts w:ascii="仿宋_GB2312" w:hAnsi="仿宋_GB2312" w:cs="仿宋_GB2312" w:eastAsia="仿宋_GB2312"/>
                <w:sz w:val="21"/>
                <w:color w:val="030303"/>
                <w:shd w:fill="FFFFFF" w:val="clear"/>
              </w:rPr>
              <w:t>180天，责任期限超越保险期限理赔顺延。须具备在本</w:t>
            </w:r>
            <w:r>
              <w:rPr>
                <w:rFonts w:ascii="仿宋_GB2312" w:hAnsi="仿宋_GB2312" w:cs="仿宋_GB2312" w:eastAsia="仿宋_GB2312"/>
                <w:sz w:val="21"/>
                <w:color w:val="030303"/>
                <w:shd w:fill="FFFFFF" w:val="clear"/>
              </w:rPr>
              <w:t>区（县）</w:t>
            </w:r>
            <w:r>
              <w:rPr>
                <w:rFonts w:ascii="仿宋_GB2312" w:hAnsi="仿宋_GB2312" w:cs="仿宋_GB2312" w:eastAsia="仿宋_GB2312"/>
                <w:sz w:val="21"/>
                <w:color w:val="030303"/>
                <w:shd w:fill="FFFFFF" w:val="clear"/>
              </w:rPr>
              <w:t>开展户籍居民老年人意外伤害保险服务的工作网络。</w:t>
            </w:r>
          </w:p>
          <w:p>
            <w:pPr>
              <w:pStyle w:val="null3"/>
              <w:spacing w:before="105"/>
              <w:jc w:val="both"/>
            </w:pPr>
            <w:r>
              <w:rPr>
                <w:rFonts w:ascii="仿宋_GB2312" w:hAnsi="仿宋_GB2312" w:cs="仿宋_GB2312" w:eastAsia="仿宋_GB2312"/>
                <w:sz w:val="21"/>
                <w:b/>
                <w:color w:val="030303"/>
                <w:shd w:fill="FFFFFF" w:val="clear"/>
              </w:rPr>
              <w:t>五、保险年度预算金额</w:t>
            </w:r>
          </w:p>
          <w:p>
            <w:pPr>
              <w:pStyle w:val="null3"/>
              <w:ind w:firstLine="420"/>
              <w:jc w:val="both"/>
            </w:pPr>
            <w:r>
              <w:rPr>
                <w:rFonts w:ascii="仿宋_GB2312" w:hAnsi="仿宋_GB2312" w:cs="仿宋_GB2312" w:eastAsia="仿宋_GB2312"/>
                <w:sz w:val="21"/>
                <w:shd w:fill="FFFFFF" w:val="clear"/>
              </w:rPr>
              <w:t>“政府补贴人群”预计</w:t>
            </w:r>
            <w:r>
              <w:rPr>
                <w:rFonts w:ascii="仿宋_GB2312" w:hAnsi="仿宋_GB2312" w:cs="仿宋_GB2312" w:eastAsia="仿宋_GB2312"/>
                <w:sz w:val="21"/>
                <w:shd w:fill="FFFFFF" w:val="clear"/>
              </w:rPr>
              <w:t>2.9649</w:t>
            </w:r>
            <w:r>
              <w:rPr>
                <w:rFonts w:ascii="仿宋_GB2312" w:hAnsi="仿宋_GB2312" w:cs="仿宋_GB2312" w:eastAsia="仿宋_GB2312"/>
                <w:sz w:val="21"/>
                <w:shd w:fill="FFFFFF" w:val="clear"/>
              </w:rPr>
              <w:t>万人，保险费标准为每人</w:t>
            </w:r>
            <w:r>
              <w:rPr>
                <w:rFonts w:ascii="仿宋_GB2312" w:hAnsi="仿宋_GB2312" w:cs="仿宋_GB2312" w:eastAsia="仿宋_GB2312"/>
                <w:sz w:val="21"/>
                <w:shd w:fill="FFFFFF" w:val="clear"/>
              </w:rPr>
              <w:t>20元/份/年，保险总费用</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59.2980</w:t>
            </w:r>
            <w:r>
              <w:rPr>
                <w:rFonts w:ascii="仿宋_GB2312" w:hAnsi="仿宋_GB2312" w:cs="仿宋_GB2312" w:eastAsia="仿宋_GB2312"/>
                <w:sz w:val="21"/>
                <w:shd w:fill="FFFFFF" w:val="clear"/>
              </w:rPr>
              <w:t>万元。最终以实际参保人数为准。</w:t>
            </w:r>
          </w:p>
          <w:p>
            <w:pPr>
              <w:pStyle w:val="null3"/>
              <w:spacing w:before="105"/>
              <w:jc w:val="both"/>
            </w:pPr>
            <w:r>
              <w:rPr>
                <w:rFonts w:ascii="仿宋_GB2312" w:hAnsi="仿宋_GB2312" w:cs="仿宋_GB2312" w:eastAsia="仿宋_GB2312"/>
                <w:sz w:val="21"/>
                <w:b/>
                <w:color w:val="030303"/>
                <w:shd w:fill="FFFFFF" w:val="clear"/>
              </w:rPr>
              <w:t>六、服务要求</w:t>
            </w:r>
          </w:p>
          <w:p>
            <w:pPr>
              <w:pStyle w:val="null3"/>
              <w:spacing w:before="105"/>
              <w:ind w:firstLine="420"/>
              <w:jc w:val="both"/>
            </w:pPr>
            <w:r>
              <w:rPr>
                <w:rFonts w:ascii="仿宋_GB2312" w:hAnsi="仿宋_GB2312" w:cs="仿宋_GB2312" w:eastAsia="仿宋_GB2312"/>
                <w:sz w:val="21"/>
                <w:color w:val="030303"/>
                <w:shd w:fill="FFFFFF" w:val="clear"/>
              </w:rPr>
              <w:t>1、</w:t>
            </w:r>
            <w:r>
              <w:rPr>
                <w:rFonts w:ascii="仿宋_GB2312" w:hAnsi="仿宋_GB2312" w:cs="仿宋_GB2312" w:eastAsia="仿宋_GB2312"/>
                <w:sz w:val="21"/>
                <w:color w:val="030303"/>
                <w:shd w:fill="FFFFFF" w:val="clear"/>
              </w:rPr>
              <w:t>成交（中标）</w:t>
            </w:r>
            <w:r>
              <w:rPr>
                <w:rFonts w:ascii="仿宋_GB2312" w:hAnsi="仿宋_GB2312" w:cs="仿宋_GB2312" w:eastAsia="仿宋_GB2312"/>
                <w:sz w:val="21"/>
                <w:color w:val="030303"/>
                <w:shd w:fill="FFFFFF" w:val="clear"/>
              </w:rPr>
              <w:t>服务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spacing w:before="105"/>
              <w:ind w:firstLine="420"/>
              <w:jc w:val="both"/>
            </w:pPr>
            <w:r>
              <w:rPr>
                <w:rFonts w:ascii="仿宋_GB2312" w:hAnsi="仿宋_GB2312" w:cs="仿宋_GB2312" w:eastAsia="仿宋_GB2312"/>
                <w:sz w:val="21"/>
                <w:color w:val="030303"/>
                <w:shd w:fill="FFFFFF" w:val="clear"/>
              </w:rPr>
              <w:t>2、</w:t>
            </w:r>
            <w:r>
              <w:rPr>
                <w:rFonts w:ascii="仿宋_GB2312" w:hAnsi="仿宋_GB2312" w:cs="仿宋_GB2312" w:eastAsia="仿宋_GB2312"/>
                <w:sz w:val="21"/>
                <w:color w:val="030303"/>
                <w:shd w:fill="FFFFFF" w:val="clear"/>
              </w:rPr>
              <w:t>成交（中标）</w:t>
            </w:r>
            <w:r>
              <w:rPr>
                <w:rFonts w:ascii="仿宋_GB2312" w:hAnsi="仿宋_GB2312" w:cs="仿宋_GB2312" w:eastAsia="仿宋_GB2312"/>
                <w:sz w:val="21"/>
                <w:color w:val="030303"/>
                <w:shd w:fill="FFFFFF" w:val="clear"/>
              </w:rPr>
              <w:t>服务商宣传到位，利用多种方式宣传发动，让全社会充分认识老年人意外伤害保险是经济社会发展和人口老龄化发展的客观要求，重点宣传参保内容和参保程序使老年人意外伤害保险方案家喻户晓。</w:t>
            </w:r>
          </w:p>
          <w:p>
            <w:pPr>
              <w:pStyle w:val="null3"/>
              <w:spacing w:before="105"/>
              <w:ind w:firstLine="420"/>
              <w:jc w:val="both"/>
            </w:pPr>
            <w:r>
              <w:rPr>
                <w:rFonts w:ascii="仿宋_GB2312" w:hAnsi="仿宋_GB2312" w:cs="仿宋_GB2312" w:eastAsia="仿宋_GB2312"/>
                <w:sz w:val="21"/>
                <w:color w:val="030303"/>
                <w:shd w:fill="FFFFFF" w:val="clear"/>
              </w:rPr>
              <w:t>3、有合规经营机构，协议签订后在24小时内出据保险单。全天24小时接受被保险人或居民咨询和索赔需求，出险后</w:t>
            </w:r>
            <w:r>
              <w:rPr>
                <w:rFonts w:ascii="仿宋_GB2312" w:hAnsi="仿宋_GB2312" w:cs="仿宋_GB2312" w:eastAsia="仿宋_GB2312"/>
                <w:sz w:val="21"/>
                <w:color w:val="030303"/>
                <w:shd w:fill="FFFFFF" w:val="clear"/>
              </w:rPr>
              <w:t>3</w:t>
            </w:r>
            <w:r>
              <w:rPr>
                <w:rFonts w:ascii="仿宋_GB2312" w:hAnsi="仿宋_GB2312" w:cs="仿宋_GB2312" w:eastAsia="仿宋_GB2312"/>
                <w:sz w:val="21"/>
                <w:color w:val="030303"/>
                <w:shd w:fill="FFFFFF" w:val="clear"/>
              </w:rPr>
              <w:t>小时内上门服务，</w:t>
            </w:r>
            <w:r>
              <w:rPr>
                <w:rFonts w:ascii="仿宋_GB2312" w:hAnsi="仿宋_GB2312" w:cs="仿宋_GB2312" w:eastAsia="仿宋_GB2312"/>
                <w:sz w:val="21"/>
                <w:color w:val="030303"/>
                <w:shd w:fill="FFFFFF" w:val="clear"/>
              </w:rPr>
              <w:t>5个工作日内进行理赔处理结案。</w:t>
            </w:r>
          </w:p>
          <w:p>
            <w:pPr>
              <w:pStyle w:val="null3"/>
              <w:jc w:val="both"/>
            </w:pPr>
            <w:r>
              <w:rPr>
                <w:rFonts w:ascii="仿宋_GB2312" w:hAnsi="仿宋_GB2312" w:cs="仿宋_GB2312" w:eastAsia="仿宋_GB2312"/>
                <w:sz w:val="21"/>
                <w:color w:val="030303"/>
                <w:shd w:fill="FFFFFF" w:val="clear"/>
              </w:rPr>
              <w:t xml:space="preserve">        4</w:t>
            </w:r>
            <w:r>
              <w:rPr>
                <w:rFonts w:ascii="仿宋_GB2312" w:hAnsi="仿宋_GB2312" w:cs="仿宋_GB2312" w:eastAsia="仿宋_GB2312"/>
                <w:sz w:val="21"/>
                <w:color w:val="030303"/>
                <w:shd w:fill="FFFFFF" w:val="clear"/>
              </w:rPr>
              <w:t>、加强沟通协调。供应商按照公司职责，加强协作配合，进一步分工合理，职责明确，协商沟通，规范有序的工作机制，确保取得实效，使老年人得到实惠。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按中标保险公司所承诺的费率及实际保险费结算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1、本项目为非专门面向中小企业采购。 2、需要落实的政府采购政策：（1）《政府采购促进中小企业发展管理办法》的通知-财库〔2020〕46号；（2）财政部司法部关于政 府采购支持监狱企业发展有关问题的通知-财库〔2014〕68号；（3）《国务院办公厅关于建立政府强制采购节能产品制度的通知》-国办发〔2007〕51号；（4）《财政部发展改革委生态环境部市场监管总局关于调整优化节能产品、环境标志产品政府采购执行机制的通知》-（财库〔2019〕9号）；（5）《关于印发环境标志产品政府采购品目清单的通知》-（财库〔2019〕18号）；（6）《关于印发节能产品政府采购品目清单的通知》-（财库〔2019〕19号）；（7）《财政部民政部中国残疾人联合会关于促进残疾人就业政府采购政策的通知》-（财库〔2017〕141号）；（8）《关于运用政府采购政策支持乡村产业振兴的通知》-（财库〔2021〕19号）；（9）《关于进一步加大政府采购支持中小企业力度的通知》（财库〔2022〕19号）；（10）陕西省财政厅关于印发《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中国人民银行西安分行关于深入推进政府采购信用融资业务的通知》-（陕财办采〔2023〕5号）；（14）其他需要落实的政府采购政策。若享受以上政策优惠的企业，提供相应声明函或品目范围内产品有效认证证书。 3、供应商系统录入报价及二次报价填写均为项目预算价格。 4、响应文件中凡是需要法定代表人（单位负责人）盖章之处，由分支机构参与投标时，单位负责人均参照执行（法定代表人（单位负责人）授权书由单位负责人签授）。 5、成交供应商在领取成交通知书时提供响应文件纸质版一正一副（电子版U盘一份）。 6、因本文固定格式“采购人应在成交通知书发出之日起三十日内与成交供应商签订采购合同”现按照“采购人应在成交通知书发出之日起二十五日内与成交供应商签订采购合同”执行。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2、财务状况报告：提供经审计的2024年度的财务报告或提交响应文件截止时间前六个月内其基本账户开户银行出具的资信证明及基本存款账户信息；其他组织和自然人提供银行出具的资信证明或财务报表； 3、税收缴纳证明：提供供应商2024年7月份至今已缴纳任意一个月完税凭证或税务机关开具的完税证明（任意税种）；依法免税的应提供相关文件证明； 4、社会保障资金缴纳证明：提供供应商2024年7月份至今已缴纳任意一个月的社会保障完税证明或社保机构开具的社会保险参保缴费情况证明；依法不需要缴纳社会保障资金的应提供相关文件证明；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相关证明资料.docx 参考附件.docx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经审计的2024年度的财务报告或提交响应文件截止时间前六个月内其基本账户开户银行出具的资信证明及基本存款账户信息；其他组织和自然人提供银行出具的资信证明或财务报表）并进行电子签章。</w:t>
            </w:r>
          </w:p>
        </w:tc>
        <w:tc>
          <w:tcPr>
            <w:tcW w:type="dxa" w:w="1661"/>
          </w:tcPr>
          <w:p>
            <w:pPr>
              <w:pStyle w:val="null3"/>
            </w:pPr>
            <w:r>
              <w:rPr>
                <w:rFonts w:ascii="仿宋_GB2312" w:hAnsi="仿宋_GB2312" w:cs="仿宋_GB2312" w:eastAsia="仿宋_GB2312"/>
              </w:rPr>
              <w:t>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相关证明资料.docx 参考附件.docx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未被列为“信用中国”网（www.creditchina.gov.cn）中失信被执行人和重大税收违法失信主体名单及中国政府采购网（www.ccgp.gov.cn）政府采购严重违法失信行为记录名单。</w:t>
            </w:r>
          </w:p>
        </w:tc>
        <w:tc>
          <w:tcPr>
            <w:tcW w:type="dxa" w:w="1661"/>
          </w:tcPr>
          <w:p>
            <w:pPr>
              <w:pStyle w:val="null3"/>
            </w:pPr>
            <w:r>
              <w:rPr>
                <w:rFonts w:ascii="仿宋_GB2312" w:hAnsi="仿宋_GB2312" w:cs="仿宋_GB2312" w:eastAsia="仿宋_GB2312"/>
              </w:rPr>
              <w:t>相关证明资料.docx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响应文件封面 参考附件.docx 参考格式-定.docx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服务实施方案.docx 相关证明资料.docx 参考格式-定.docx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承保服务、理赔服务手续</w:t>
            </w:r>
          </w:p>
        </w:tc>
        <w:tc>
          <w:tcPr>
            <w:tcW w:type="dxa" w:w="2492"/>
          </w:tcPr>
          <w:p>
            <w:pPr>
              <w:pStyle w:val="null3"/>
            </w:pPr>
            <w:r>
              <w:rPr>
                <w:rFonts w:ascii="仿宋_GB2312" w:hAnsi="仿宋_GB2312" w:cs="仿宋_GB2312" w:eastAsia="仿宋_GB2312"/>
              </w:rPr>
              <w:t>供应商承诺的承保服务、理赔服务手续繁简程度、快速理赔通道。 内容科学、合理、有效，可行性强，赋10分； 内容基本合理、完善，赋6分； 内容不合理、完善，赋3分；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理赔措施</w:t>
            </w:r>
          </w:p>
        </w:tc>
        <w:tc>
          <w:tcPr>
            <w:tcW w:type="dxa" w:w="2492"/>
          </w:tcPr>
          <w:p>
            <w:pPr>
              <w:pStyle w:val="null3"/>
            </w:pPr>
            <w:r>
              <w:rPr>
                <w:rFonts w:ascii="仿宋_GB2312" w:hAnsi="仿宋_GB2312" w:cs="仿宋_GB2312" w:eastAsia="仿宋_GB2312"/>
              </w:rPr>
              <w:t>具有完整成套的理赔措施，理赔流程详尽合理，并具有方便、快捷的特点。 内容科学、合理、有效，可行性强，赋10分； 内容基本合理、完善，赋6分； 内容不合理、完善，赋3分；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对责任事故处理有明确的理赔时效。 内容丰富全面、科学合理、规范，赋10分； 内容基本全面、科学、规范，赋6分； 内容不全面、科学、规范，赋3分；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对采购人可认定责任的事故不设报案时限</w:t>
            </w:r>
          </w:p>
        </w:tc>
        <w:tc>
          <w:tcPr>
            <w:tcW w:type="dxa" w:w="2492"/>
          </w:tcPr>
          <w:p>
            <w:pPr>
              <w:pStyle w:val="null3"/>
            </w:pPr>
            <w:r>
              <w:rPr>
                <w:rFonts w:ascii="仿宋_GB2312" w:hAnsi="仿宋_GB2312" w:cs="仿宋_GB2312" w:eastAsia="仿宋_GB2312"/>
              </w:rPr>
              <w:t>对采购人可认定责任的事故不设报案时限。 内容详尽，细节考虑全面，赋10分； 内容基本详尽，细节考虑基本全面，赋6分； 内容不全面，赋3分；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理赔材料</w:t>
            </w:r>
          </w:p>
        </w:tc>
        <w:tc>
          <w:tcPr>
            <w:tcW w:type="dxa" w:w="2492"/>
          </w:tcPr>
          <w:p>
            <w:pPr>
              <w:pStyle w:val="null3"/>
            </w:pPr>
            <w:r>
              <w:rPr>
                <w:rFonts w:ascii="仿宋_GB2312" w:hAnsi="仿宋_GB2312" w:cs="仿宋_GB2312" w:eastAsia="仿宋_GB2312"/>
              </w:rPr>
              <w:t>对被保险人提供理赔材料有欠缺的协助处理方案。 内容详尽，细节考虑全面，赋15分； 内容基本详尽，细节考虑基本全面，赋10分； 内容不全面，赋5分；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有上门收取采购人理赔资料的服务流程。 服务流程科学，详细，操作性强，赋10分； 服务流程内容基本合理，赋6分； 服务流程内容不合理，赋3分；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针对采购人实际需求提供有针对性的服务措施承诺。 服务措施针对性强、合理有效，赋10分； 服务措施针对性不强、基本合理有效，赋6分； 服务措施针对性弱、不合理有效，赋3分；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为满足本项目的工作需要，配备相应人员，提出配备方案。 方案合理、突出、详细，赋10分； 方案基本合理、突出、详细，赋6分； 方案不合理、突出、详细，赋3分；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供应商需提供近年来（2022年1月1日起至今的）类似业绩证明材料。业绩证明材料以合同为准，每提供一项有效合同，赋3分，最高15分。备注：响应文件中提供合同复印件加盖公章。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服务实施方案.docx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详见附件：参考附件.docx</w:t>
      </w:r>
    </w:p>
    <w:p>
      <w:pPr>
        <w:pStyle w:val="null3"/>
        <w:ind w:firstLine="960"/>
      </w:pPr>
      <w:r>
        <w:rPr>
          <w:rFonts w:ascii="仿宋_GB2312" w:hAnsi="仿宋_GB2312" w:cs="仿宋_GB2312" w:eastAsia="仿宋_GB2312"/>
        </w:rPr>
        <w:t>详见附件：参考格式-定.docx</w:t>
      </w:r>
    </w:p>
    <w:p>
      <w:pPr>
        <w:pStyle w:val="null3"/>
        <w:ind w:firstLine="960"/>
      </w:pPr>
      <w:r>
        <w:rPr>
          <w:rFonts w:ascii="仿宋_GB2312" w:hAnsi="仿宋_GB2312" w:cs="仿宋_GB2312" w:eastAsia="仿宋_GB2312"/>
        </w:rPr>
        <w:t>详见附件：服务实施方案.docx</w:t>
      </w:r>
    </w:p>
    <w:p>
      <w:pPr>
        <w:pStyle w:val="null3"/>
        <w:ind w:firstLine="960"/>
      </w:pPr>
      <w:r>
        <w:rPr>
          <w:rFonts w:ascii="仿宋_GB2312" w:hAnsi="仿宋_GB2312" w:cs="仿宋_GB2312" w:eastAsia="仿宋_GB2312"/>
        </w:rPr>
        <w:t>详见附件：相关证明资料.docx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