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版本号：HRC-ZBDL-2025-0129620250828001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采购结构化电子病历与合理用药系统、医保移动支付平台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HRC-ZBDL-2025-01296</w:t>
      </w:r>
      <w:r>
        <w:br/>
      </w:r>
      <w:r>
        <w:br/>
      </w:r>
      <w:r>
        <w:br/>
      </w:r>
    </w:p>
    <w:p>
      <w:pPr>
        <w:pStyle w:val="null3"/>
        <w:jc w:val="center"/>
        <w:outlineLvl w:val="2"/>
      </w:pPr>
      <w:r>
        <w:rPr>
          <w:rFonts w:ascii="仿宋_GB2312" w:hAnsi="仿宋_GB2312" w:cs="仿宋_GB2312" w:eastAsia="仿宋_GB2312"/>
          <w:sz w:val="28"/>
          <w:b/>
        </w:rPr>
        <w:t>西安市临潼区妇幼保健计划生育服务中心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西安市临潼区妇幼保健计划生育服务中心</w:t>
      </w:r>
      <w:r>
        <w:rPr>
          <w:rFonts w:ascii="仿宋_GB2312" w:hAnsi="仿宋_GB2312" w:cs="仿宋_GB2312" w:eastAsia="仿宋_GB2312"/>
        </w:rPr>
        <w:t>委托，拟对</w:t>
      </w:r>
      <w:r>
        <w:rPr>
          <w:rFonts w:ascii="仿宋_GB2312" w:hAnsi="仿宋_GB2312" w:cs="仿宋_GB2312" w:eastAsia="仿宋_GB2312"/>
        </w:rPr>
        <w:t>采购结构化电子病历与合理用药系统、医保移动支付平台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HRC-ZBDL-2025-01296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采购结构化电子病历与合理用药系统、医保移动支付平台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西安市临潼区妇幼保健计划生育服务中心采购结构化电子病历与合理用药系统、医保移动支付平台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采购包1（采购结构化电子病历与合理用药系统、医保移动支付平台）：属于专门面向中小企业采购。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提供加盖投标供应商公章的营业执照或事业单位法人证书等相关证件复印件）；</w:t>
      </w:r>
    </w:p>
    <w:p>
      <w:pPr>
        <w:pStyle w:val="null3"/>
      </w:pPr>
      <w:r>
        <w:rPr>
          <w:rFonts w:ascii="仿宋_GB2312" w:hAnsi="仿宋_GB2312" w:cs="仿宋_GB2312" w:eastAsia="仿宋_GB2312"/>
        </w:rPr>
        <w:t>2、授权委托：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p>
      <w:pPr>
        <w:pStyle w:val="null3"/>
      </w:pPr>
      <w:r>
        <w:rPr>
          <w:rFonts w:ascii="仿宋_GB2312" w:hAnsi="仿宋_GB2312" w:cs="仿宋_GB2312" w:eastAsia="仿宋_GB2312"/>
        </w:rPr>
        <w:t>3、财务状况：提供2023年度或2024年度经审计的完整的财务审计报告(成立时间至提交投标文件截止时间不足一年的可提供成立后任意时段的资产负债表)，或其开标前六个月内基本存款账户开户银行出具的资信证明；</w:t>
      </w:r>
    </w:p>
    <w:p>
      <w:pPr>
        <w:pStyle w:val="null3"/>
      </w:pPr>
      <w:r>
        <w:rPr>
          <w:rFonts w:ascii="仿宋_GB2312" w:hAnsi="仿宋_GB2312" w:cs="仿宋_GB2312" w:eastAsia="仿宋_GB2312"/>
        </w:rPr>
        <w:t>4、税收缴纳证明：提供2024年8月至今已缴纳的至少三个月的纳税证明或完税证明，依法免税的单位应提供相关证明材料；</w:t>
      </w:r>
    </w:p>
    <w:p>
      <w:pPr>
        <w:pStyle w:val="null3"/>
      </w:pPr>
      <w:r>
        <w:rPr>
          <w:rFonts w:ascii="仿宋_GB2312" w:hAnsi="仿宋_GB2312" w:cs="仿宋_GB2312" w:eastAsia="仿宋_GB2312"/>
        </w:rPr>
        <w:t>5、社会保障资金缴纳证明：提供2024年8月至今任意三个月的社会保障资金缴存单据或社保机构开具的社会保险参保缴费情况证明，依法不需要缴纳社会保障资金的单位应提供相关证明材料；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7、控股、管理关系：单位负责人为同一人或者存在直接控股、管理关系的不同供应商（承包商），不得同时参加本项目的投标；</w:t>
      </w:r>
    </w:p>
    <w:p>
      <w:pPr>
        <w:pStyle w:val="null3"/>
      </w:pPr>
      <w:r>
        <w:rPr>
          <w:rFonts w:ascii="仿宋_GB2312" w:hAnsi="仿宋_GB2312" w:cs="仿宋_GB2312" w:eastAsia="仿宋_GB2312"/>
        </w:rPr>
        <w:t>8、承诺函：提供具有履行合同所必需的设备和专业技术能力的承诺函；</w:t>
      </w:r>
    </w:p>
    <w:p>
      <w:pPr>
        <w:pStyle w:val="null3"/>
      </w:pPr>
      <w:r>
        <w:rPr>
          <w:rFonts w:ascii="仿宋_GB2312" w:hAnsi="仿宋_GB2312" w:cs="仿宋_GB2312" w:eastAsia="仿宋_GB2312"/>
        </w:rPr>
        <w:t>9、非联合体投标声明：本项目不接受联合体投标,不得转包、不得再次分包（须提供声明函）。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临潼区西关正街99号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029-83851009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18829558026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 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西安市临潼区妇幼保健计划生育服务中心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联系电话：18829558026</w:t>
      </w:r>
    </w:p>
    <w:p>
      <w:pPr>
        <w:pStyle w:val="null3"/>
      </w:pPr>
      <w:r>
        <w:rPr>
          <w:rFonts w:ascii="仿宋_GB2312" w:hAnsi="仿宋_GB2312" w:cs="仿宋_GB2312" w:eastAsia="仿宋_GB2312"/>
        </w:rPr>
        <w:t>地址：西安市浐灞生态区欧亚大道3639号丝路国际创意梦工厂一期5号楼610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西安市临潼区妇幼保健计划生育服务中心采购结构化电子病历与合理用药系统、医保移动支付平台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8"/>
                <w:b/>
              </w:rPr>
              <w:t>总体要求</w:t>
            </w:r>
          </w:p>
          <w:p>
            <w:pPr>
              <w:pStyle w:val="null3"/>
              <w:ind w:firstLine="480"/>
            </w:pPr>
            <w:r>
              <w:rPr>
                <w:rFonts w:ascii="仿宋_GB2312" w:hAnsi="仿宋_GB2312" w:cs="仿宋_GB2312" w:eastAsia="仿宋_GB2312"/>
                <w:sz w:val="24"/>
                <w:color w:val="000000"/>
              </w:rPr>
              <w:t>本次项目建设目标是建设满足以测评为指引的医院信息化建设长足发展的需求，按照标准符合性评测升级现有的信息软件系统，并新增相关业务系统建设，全面提高医疗服务质量和服务效率。</w:t>
            </w:r>
            <w:r>
              <w:rPr>
                <w:rFonts w:ascii="仿宋_GB2312" w:hAnsi="仿宋_GB2312" w:cs="仿宋_GB2312" w:eastAsia="仿宋_GB2312"/>
                <w:sz w:val="24"/>
                <w:color w:val="000000"/>
              </w:rPr>
              <w:t>要求增加的业务系统与医院现有信息软件系统做到无缝连接；</w:t>
            </w:r>
          </w:p>
          <w:p>
            <w:pPr>
              <w:pStyle w:val="null3"/>
              <w:spacing w:before="240"/>
              <w:ind w:left="420"/>
            </w:pPr>
            <w:r>
              <w:rPr>
                <w:rFonts w:ascii="仿宋_GB2312" w:hAnsi="仿宋_GB2312" w:cs="仿宋_GB2312" w:eastAsia="仿宋_GB2312"/>
                <w:sz w:val="24"/>
              </w:rPr>
              <w:t>一、</w:t>
            </w:r>
            <w:r>
              <w:rPr>
                <w:rFonts w:ascii="仿宋_GB2312" w:hAnsi="仿宋_GB2312" w:cs="仿宋_GB2312" w:eastAsia="仿宋_GB2312"/>
                <w:sz w:val="24"/>
              </w:rPr>
              <w:t>项目建设清单</w:t>
            </w:r>
          </w:p>
          <w:tbl>
            <w:tblPr>
              <w:tblBorders>
                <w:top w:val="none" w:color="000000" w:sz="4"/>
                <w:left w:val="none" w:color="000000" w:sz="4"/>
                <w:bottom w:val="none" w:color="000000" w:sz="4"/>
                <w:right w:val="none" w:color="000000" w:sz="4"/>
                <w:insideH w:val="none"/>
                <w:insideV w:val="none"/>
              </w:tblBorders>
            </w:tblPr>
            <w:tblGrid>
              <w:gridCol w:w="230"/>
              <w:gridCol w:w="1555"/>
              <w:gridCol w:w="191"/>
              <w:gridCol w:w="562"/>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1"/>
                      <w:b/>
                      <w:color w:val="000000"/>
                    </w:rPr>
                    <w:t>系统名称</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4"/>
                    </w:rPr>
                    <w:t>住院结构化电子病历及质控系统</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4"/>
                    </w:rPr>
                    <w:t>合理用药系统</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4"/>
                      <w:color w:val="000000"/>
                    </w:rPr>
                    <w:t>医保移动支付</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sz w:val="24"/>
              </w:rPr>
              <w:t>二、</w:t>
            </w:r>
            <w:r>
              <w:rPr>
                <w:rFonts w:ascii="仿宋_GB2312" w:hAnsi="仿宋_GB2312" w:cs="仿宋_GB2312" w:eastAsia="仿宋_GB2312"/>
                <w:sz w:val="24"/>
              </w:rPr>
              <w:t>项目建设技术参数</w:t>
            </w:r>
          </w:p>
          <w:p>
            <w:pPr>
              <w:pStyle w:val="null3"/>
              <w:ind w:firstLine="480"/>
            </w:pPr>
            <w:r>
              <w:rPr>
                <w:rFonts w:ascii="仿宋_GB2312" w:hAnsi="仿宋_GB2312" w:cs="仿宋_GB2312" w:eastAsia="仿宋_GB2312"/>
                <w:sz w:val="24"/>
              </w:rPr>
              <w:t>1、住院结构化电子病历及病历质控系统</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具备病历结构化录入功能，提供包括单选、复选、下拉、日期时间等结构化方式实现病历文书的编辑。</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支持将病历内容按不同格式导出，如：</w:t>
            </w:r>
            <w:r>
              <w:rPr>
                <w:rFonts w:ascii="仿宋_GB2312" w:hAnsi="仿宋_GB2312" w:cs="仿宋_GB2312" w:eastAsia="仿宋_GB2312"/>
                <w:sz w:val="24"/>
              </w:rPr>
              <w:t>xml、PDF等；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支持当前书写病历内容保存到知识库、调用知识库功能；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实现检验、检查数据插入到病历当中的任意位置；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支持查看患者医嘱信息、护理信息；支持将医嘱数据、护理数据插入到病历中。</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支持医生将当前书写病历自定义保存为个人模板或科室模板；</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支持对病历进行批注操作；</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具备病历操作留痕功能，记录修改时间、修改人等信息；</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可对模板内容进行属性设置，如内容不能被删除、不能被复制等；内容不能为空等；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提供病历书写过程中常用的特殊符号集如：</w:t>
            </w:r>
            <w:r>
              <w:rPr>
                <w:rFonts w:ascii="仿宋_GB2312" w:hAnsi="仿宋_GB2312" w:cs="仿宋_GB2312" w:eastAsia="仿宋_GB2312"/>
                <w:sz w:val="24"/>
              </w:rPr>
              <w:t>℃,℉,‰,㏒等；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具备病历表格化功能。支持根据表格书写内容自动调节表格宽度；</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病历文件支持多种格式打印，如快速打印，从当前行，合并打印等；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支持其他科室人员电子病历浏览功能；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支持引用患者本次就诊诊断信息数据；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支持病历书写时插入医学公式，如月经史、胎心位、牙位、孕周等；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书写时可按维护的关键内容在不同的病历间引用关联内容，避免医生重复录入。</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支持用户定义质量管理规则。包含但不限于文书完整、时限要求等；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支持给医生提供多种提醒功能。如首次病程记录在</w:t>
            </w:r>
            <w:r>
              <w:rPr>
                <w:rFonts w:ascii="仿宋_GB2312" w:hAnsi="仿宋_GB2312" w:cs="仿宋_GB2312" w:eastAsia="仿宋_GB2312"/>
                <w:sz w:val="24"/>
              </w:rPr>
              <w:t>8小时内完成、入院记录在24小时内完成等；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具备病历书写流程控制功能，病历未提交不能审核等；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医生完成病历后，可以通过自评分了解病历出现的缺陷；</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支持科室质控和全院质控；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评分明细项随时可查；</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评分规则可根据医院实际需求设置；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增加质控问题界面，查看当前医生的质控问题；</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按实际设置质控相关科室，相关质控人员质控权限。</w:t>
            </w:r>
          </w:p>
          <w:p>
            <w:pPr>
              <w:pStyle w:val="null3"/>
              <w:ind w:firstLine="480"/>
            </w:pPr>
            <w:r>
              <w:rPr>
                <w:rFonts w:ascii="仿宋_GB2312" w:hAnsi="仿宋_GB2312" w:cs="仿宋_GB2312" w:eastAsia="仿宋_GB2312"/>
                <w:sz w:val="24"/>
              </w:rPr>
              <w:t>2、合理用药系统</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医生工作站审查实时干预</w:t>
            </w:r>
          </w:p>
          <w:p>
            <w:pPr>
              <w:pStyle w:val="null3"/>
              <w:ind w:left="435" w:right="45" w:firstLine="480"/>
            </w:pPr>
            <w:r>
              <w:rPr>
                <w:rFonts w:ascii="仿宋_GB2312" w:hAnsi="仿宋_GB2312" w:cs="仿宋_GB2312" w:eastAsia="仿宋_GB2312"/>
                <w:sz w:val="24"/>
                <w:color w:val="000000"/>
              </w:rPr>
              <w:t>支持对处方</w:t>
            </w:r>
            <w:r>
              <w:rPr>
                <w:rFonts w:ascii="仿宋_GB2312" w:hAnsi="仿宋_GB2312" w:cs="仿宋_GB2312" w:eastAsia="仿宋_GB2312"/>
                <w:sz w:val="24"/>
                <w:color w:val="000000"/>
              </w:rPr>
              <w:t>/医嘱的用药合理性进行实时审查，并给予医生提示。</w:t>
            </w:r>
          </w:p>
          <w:p>
            <w:pPr>
              <w:pStyle w:val="null3"/>
              <w:ind w:left="435" w:right="45" w:firstLine="480"/>
            </w:pPr>
            <w:r>
              <w:rPr>
                <w:rFonts w:ascii="仿宋_GB2312" w:hAnsi="仿宋_GB2312" w:cs="仿宋_GB2312" w:eastAsia="仿宋_GB2312"/>
                <w:sz w:val="24"/>
                <w:color w:val="000000"/>
              </w:rPr>
              <w:t>支持对于严重的用药问题可以直接在医生端进行拦截。</w:t>
            </w:r>
          </w:p>
          <w:p>
            <w:pPr>
              <w:pStyle w:val="null3"/>
              <w:ind w:left="435" w:right="45" w:firstLine="480"/>
            </w:pPr>
            <w:r>
              <w:rPr>
                <w:rFonts w:ascii="仿宋_GB2312" w:hAnsi="仿宋_GB2312" w:cs="仿宋_GB2312" w:eastAsia="仿宋_GB2312"/>
                <w:sz w:val="24"/>
                <w:color w:val="000000"/>
              </w:rPr>
              <w:t>支持所有审查结果会实时提供给处方医生具体的审核依据和循证医学内容。</w:t>
            </w:r>
          </w:p>
          <w:p>
            <w:pPr>
              <w:pStyle w:val="null3"/>
              <w:ind w:left="435" w:right="45" w:firstLine="480"/>
            </w:pPr>
            <w:r>
              <w:rPr>
                <w:rFonts w:ascii="仿宋_GB2312" w:hAnsi="仿宋_GB2312" w:cs="仿宋_GB2312" w:eastAsia="仿宋_GB2312"/>
                <w:sz w:val="24"/>
                <w:color w:val="000000"/>
              </w:rPr>
              <w:t>支持配置审查内容区域各个医院规则和风险级别不同，可以根据不同审查级别进行不同的拦截方式，采取阻断或提醒模式。</w:t>
            </w:r>
          </w:p>
          <w:p>
            <w:pPr>
              <w:pStyle w:val="null3"/>
              <w:ind w:left="435" w:right="45" w:firstLine="480"/>
            </w:pPr>
            <w:r>
              <w:rPr>
                <w:rFonts w:ascii="仿宋_GB2312" w:hAnsi="仿宋_GB2312" w:cs="仿宋_GB2312" w:eastAsia="仿宋_GB2312"/>
                <w:sz w:val="24"/>
                <w:color w:val="000000"/>
              </w:rPr>
              <w:t>支持医生工作站实时查询所有医药知识库相关信息，辅助各级别医院医生学习相关知识提高用药水平。</w:t>
            </w:r>
          </w:p>
          <w:p>
            <w:pPr>
              <w:pStyle w:val="null3"/>
              <w:ind w:left="435" w:firstLine="480"/>
            </w:pPr>
            <w:r>
              <w:rPr>
                <w:rFonts w:ascii="仿宋_GB2312" w:hAnsi="仿宋_GB2312" w:cs="仿宋_GB2312" w:eastAsia="仿宋_GB2312"/>
                <w:sz w:val="24"/>
                <w:color w:val="000000"/>
              </w:rPr>
              <w:t>支持医生回顾自己当天开具的风险处方。</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给药途径、频次审查</w:t>
            </w:r>
          </w:p>
          <w:p>
            <w:pPr>
              <w:pStyle w:val="null3"/>
              <w:ind w:left="435" w:right="45" w:firstLine="480"/>
            </w:pPr>
            <w:r>
              <w:rPr>
                <w:rFonts w:ascii="仿宋_GB2312" w:hAnsi="仿宋_GB2312" w:cs="仿宋_GB2312" w:eastAsia="仿宋_GB2312"/>
                <w:sz w:val="24"/>
                <w:color w:val="000000"/>
              </w:rPr>
              <w:t>支持在开具药品处方医嘱时参考药品说明书、临床指南、研究文献等资料，结合患者年龄、</w:t>
            </w:r>
            <w:r>
              <w:rPr>
                <w:rFonts w:ascii="仿宋_GB2312" w:hAnsi="仿宋_GB2312" w:cs="仿宋_GB2312" w:eastAsia="仿宋_GB2312"/>
                <w:sz w:val="24"/>
                <w:color w:val="000000"/>
              </w:rPr>
              <w:t>病生状况</w:t>
            </w:r>
            <w:r>
              <w:rPr>
                <w:rFonts w:ascii="仿宋_GB2312" w:hAnsi="仿宋_GB2312" w:cs="仿宋_GB2312" w:eastAsia="仿宋_GB2312"/>
                <w:sz w:val="24"/>
                <w:color w:val="000000"/>
              </w:rPr>
              <w:t>等条件，对药品的给药途径进行适宜性自动分析，并在相关界面显示审查结果，根据</w:t>
            </w:r>
            <w:r>
              <w:rPr>
                <w:rFonts w:ascii="仿宋_GB2312" w:hAnsi="仿宋_GB2312" w:cs="仿宋_GB2312" w:eastAsia="仿宋_GB2312"/>
                <w:sz w:val="24"/>
                <w:color w:val="000000"/>
              </w:rPr>
              <w:t>循证</w:t>
            </w:r>
            <w:r>
              <w:rPr>
                <w:rFonts w:ascii="仿宋_GB2312" w:hAnsi="仿宋_GB2312" w:cs="仿宋_GB2312" w:eastAsia="仿宋_GB2312"/>
                <w:sz w:val="24"/>
                <w:color w:val="000000"/>
              </w:rPr>
              <w:t>内容可进一步细分为适用给药途径、禁用给药途径、未提及给药途径。如口服药外用或者注射剂口服等相关给药途径错误给出相关提示提醒。</w:t>
            </w:r>
          </w:p>
          <w:p>
            <w:pPr>
              <w:pStyle w:val="null3"/>
              <w:ind w:left="435" w:right="45" w:firstLine="480"/>
            </w:pPr>
            <w:r>
              <w:rPr>
                <w:rFonts w:ascii="仿宋_GB2312" w:hAnsi="仿宋_GB2312" w:cs="仿宋_GB2312" w:eastAsia="仿宋_GB2312"/>
                <w:sz w:val="24"/>
                <w:color w:val="000000"/>
              </w:rPr>
              <w:t>支持从系统中提取患者年龄、性别、体重、身高、体表面积、肾功能、给药途径判断条件对给药频次高于或低于说明书中所指出的给药频次进行自动判断，并在相关界面显示判断审查结果。</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用法用量审查</w:t>
            </w:r>
          </w:p>
          <w:p>
            <w:pPr>
              <w:pStyle w:val="null3"/>
              <w:ind w:left="435" w:right="45" w:firstLine="480"/>
            </w:pPr>
            <w:r>
              <w:rPr>
                <w:rFonts w:ascii="仿宋_GB2312" w:hAnsi="仿宋_GB2312" w:cs="仿宋_GB2312" w:eastAsia="仿宋_GB2312"/>
                <w:sz w:val="24"/>
                <w:color w:val="000000"/>
              </w:rPr>
              <w:t>支持结合病人的具体情况，实现累计剂量、累计日剂量、每天剂量、每次剂量、给药频率、给药时机、疗程的精准审查；其中对长期医嘱和临时医嘱单次剂量实现分别审查。</w:t>
            </w:r>
          </w:p>
          <w:p>
            <w:pPr>
              <w:pStyle w:val="null3"/>
              <w:ind w:left="435" w:right="45" w:firstLine="480"/>
            </w:pPr>
            <w:r>
              <w:rPr>
                <w:rFonts w:ascii="仿宋_GB2312" w:hAnsi="仿宋_GB2312" w:cs="仿宋_GB2312" w:eastAsia="仿宋_GB2312"/>
                <w:sz w:val="24"/>
                <w:color w:val="000000"/>
              </w:rPr>
              <w:t>支持实现儿童剂量多维度审查，儿童剂量符合参考标准中年龄和体重任一条件，均判断为合理的剂量。</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配伍审查</w:t>
            </w:r>
          </w:p>
          <w:p>
            <w:pPr>
              <w:pStyle w:val="null3"/>
              <w:ind w:left="435" w:right="45" w:firstLine="480"/>
            </w:pPr>
            <w:r>
              <w:rPr>
                <w:rFonts w:ascii="仿宋_GB2312" w:hAnsi="仿宋_GB2312" w:cs="仿宋_GB2312" w:eastAsia="仿宋_GB2312"/>
                <w:sz w:val="24"/>
                <w:color w:val="000000"/>
              </w:rPr>
              <w:t>检查注射剂药物配伍使用时，是否存在理化相容或不相容。本功能审查关注的是注射剂药物配伍时是否有足以引起不良后果的理化改变（如颜色改变、沉淀、混沌、微粒增加、酸碱性变化等）。如果处方中存在足以引起不良后果的理化改变，则系统发出警告提醒医生可能需要调整病人的处方药品或更改药物治疗方案。</w:t>
            </w:r>
          </w:p>
          <w:p>
            <w:pPr>
              <w:pStyle w:val="null3"/>
              <w:ind w:left="435" w:right="45" w:firstLine="480"/>
            </w:pPr>
            <w:r>
              <w:rPr>
                <w:rFonts w:ascii="仿宋_GB2312" w:hAnsi="仿宋_GB2312" w:cs="仿宋_GB2312" w:eastAsia="仿宋_GB2312"/>
                <w:sz w:val="24"/>
                <w:color w:val="000000"/>
              </w:rPr>
              <w:t>可以实现《</w:t>
            </w:r>
            <w:r>
              <w:rPr>
                <w:rFonts w:ascii="仿宋_GB2312" w:hAnsi="仿宋_GB2312" w:cs="仿宋_GB2312" w:eastAsia="仿宋_GB2312"/>
                <w:sz w:val="24"/>
                <w:color w:val="000000"/>
              </w:rPr>
              <w:t>400种中西药注射剂临床配伍应用检索表》、《459种中西药注射剂临床配伍应用检索表》的应用。</w:t>
            </w:r>
          </w:p>
          <w:p>
            <w:pPr>
              <w:pStyle w:val="null3"/>
              <w:ind w:left="435" w:right="45" w:firstLine="480"/>
            </w:pPr>
            <w:r>
              <w:rPr>
                <w:rFonts w:ascii="仿宋_GB2312" w:hAnsi="仿宋_GB2312" w:cs="仿宋_GB2312" w:eastAsia="仿宋_GB2312"/>
                <w:sz w:val="24"/>
                <w:color w:val="000000"/>
              </w:rPr>
              <w:t>支持注射剂在开具时，实现配伍审查，提示同组</w:t>
            </w:r>
            <w:r>
              <w:rPr>
                <w:rFonts w:ascii="仿宋_GB2312" w:hAnsi="仿宋_GB2312" w:cs="仿宋_GB2312" w:eastAsia="仿宋_GB2312"/>
                <w:sz w:val="24"/>
                <w:color w:val="000000"/>
              </w:rPr>
              <w:t>药嘱</w:t>
            </w:r>
            <w:r>
              <w:rPr>
                <w:rFonts w:ascii="仿宋_GB2312" w:hAnsi="仿宋_GB2312" w:cs="仿宋_GB2312" w:eastAsia="仿宋_GB2312"/>
                <w:sz w:val="24"/>
                <w:color w:val="000000"/>
              </w:rPr>
              <w:t>中是否存在溶媒用量、溶媒选择、稀释（小容量注射剂）、配伍、及钾离子浓度不合理的问题。</w:t>
            </w:r>
          </w:p>
          <w:p>
            <w:pPr>
              <w:pStyle w:val="null3"/>
              <w:ind w:left="435" w:right="45" w:firstLine="480"/>
            </w:pPr>
            <w:r>
              <w:rPr>
                <w:rFonts w:ascii="仿宋_GB2312" w:hAnsi="仿宋_GB2312" w:cs="仿宋_GB2312" w:eastAsia="仿宋_GB2312"/>
                <w:sz w:val="24"/>
                <w:color w:val="000000"/>
              </w:rPr>
              <w:t>支持对于必须先用注射用水稀释的注射剂，实现配伍浓度审查。</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药物相互作用审查</w:t>
            </w:r>
          </w:p>
          <w:p>
            <w:pPr>
              <w:pStyle w:val="null3"/>
              <w:ind w:left="435" w:right="45" w:firstLine="480"/>
            </w:pPr>
            <w:r>
              <w:rPr>
                <w:rFonts w:ascii="仿宋_GB2312" w:hAnsi="仿宋_GB2312" w:cs="仿宋_GB2312" w:eastAsia="仿宋_GB2312"/>
                <w:sz w:val="24"/>
                <w:color w:val="000000"/>
              </w:rPr>
              <w:t>医生在下达处方（医嘱）时，系统自动监控当前处方（医嘱）中的药物与药物之间是否存在相互作用，如果当前处方（医嘱）中存在相互作用的药物时，系统会自动预警提示医生，并弹出风险警示信息的风险级别、风险内容。</w:t>
            </w:r>
          </w:p>
          <w:p>
            <w:pPr>
              <w:pStyle w:val="null3"/>
              <w:ind w:left="435" w:right="45" w:firstLine="480"/>
            </w:pPr>
            <w:r>
              <w:rPr>
                <w:rFonts w:ascii="仿宋_GB2312" w:hAnsi="仿宋_GB2312" w:cs="仿宋_GB2312" w:eastAsia="仿宋_GB2312"/>
                <w:sz w:val="24"/>
                <w:color w:val="000000"/>
              </w:rPr>
              <w:t>支持检查两两药物合用时可能产生的不良相互作用。这些不良相互作用可能导致药物治疗作用降低、产生或增强毒性等变化，使药品的实际使用效果发生改变，导致不良反应的发生，是临床用药中需要密切关注的问题。如果处方中存在具有不良相互作用的药物，则系统发出警告提醒医生可能需要调整病人的处方药品或更改药物治疗方案。</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重复用药审查</w:t>
            </w:r>
          </w:p>
          <w:p>
            <w:pPr>
              <w:pStyle w:val="null3"/>
              <w:ind w:left="435" w:right="45" w:firstLine="480"/>
            </w:pPr>
            <w:r>
              <w:rPr>
                <w:rFonts w:ascii="仿宋_GB2312" w:hAnsi="仿宋_GB2312" w:cs="仿宋_GB2312" w:eastAsia="仿宋_GB2312"/>
                <w:sz w:val="24"/>
                <w:color w:val="000000"/>
              </w:rPr>
              <w:t>可以实现可根据不同药品名称、或药品成分在实际用药中重复治疗的审查，重复治疗审查提示处方</w:t>
            </w:r>
            <w:r>
              <w:rPr>
                <w:rFonts w:ascii="仿宋_GB2312" w:hAnsi="仿宋_GB2312" w:cs="仿宋_GB2312" w:eastAsia="仿宋_GB2312"/>
                <w:sz w:val="24"/>
                <w:color w:val="000000"/>
              </w:rPr>
              <w:t>/医嘱中的两个或多个药品（给药途径）同属某个药物治疗分类（即具有同一种治疗目的），可能存在重复用药的问题审查。</w:t>
            </w:r>
          </w:p>
          <w:p>
            <w:pPr>
              <w:pStyle w:val="null3"/>
              <w:ind w:left="435" w:right="45" w:firstLine="480"/>
            </w:pPr>
            <w:r>
              <w:rPr>
                <w:rFonts w:ascii="仿宋_GB2312" w:hAnsi="仿宋_GB2312" w:cs="仿宋_GB2312" w:eastAsia="仿宋_GB2312"/>
                <w:sz w:val="24"/>
                <w:color w:val="000000"/>
              </w:rPr>
              <w:t>支持根据抗菌谱重复进行抗菌药物重复使用审查。</w:t>
            </w:r>
          </w:p>
          <w:p>
            <w:pPr>
              <w:pStyle w:val="null3"/>
              <w:ind w:left="435" w:right="45" w:firstLine="480"/>
            </w:pPr>
            <w:r>
              <w:rPr>
                <w:rFonts w:ascii="仿宋_GB2312" w:hAnsi="仿宋_GB2312" w:cs="仿宋_GB2312" w:eastAsia="仿宋_GB2312"/>
                <w:sz w:val="24"/>
                <w:color w:val="000000"/>
              </w:rPr>
              <w:t>可以实现病人用药处方</w:t>
            </w:r>
            <w:r>
              <w:rPr>
                <w:rFonts w:ascii="仿宋_GB2312" w:hAnsi="仿宋_GB2312" w:cs="仿宋_GB2312" w:eastAsia="仿宋_GB2312"/>
                <w:sz w:val="24"/>
                <w:color w:val="000000"/>
              </w:rPr>
              <w:t>/医嘱中的同一个全身给药的药品（排除溶媒等药品）重复开具的审查。</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药物过敏审查</w:t>
            </w:r>
          </w:p>
          <w:p>
            <w:pPr>
              <w:pStyle w:val="null3"/>
              <w:ind w:left="435" w:right="45" w:firstLine="480"/>
            </w:pPr>
            <w:r>
              <w:rPr>
                <w:rFonts w:ascii="仿宋_GB2312" w:hAnsi="仿宋_GB2312" w:cs="仿宋_GB2312" w:eastAsia="仿宋_GB2312"/>
                <w:sz w:val="24"/>
                <w:color w:val="000000"/>
              </w:rPr>
              <w:t>支持在获取病人皮试结果、既往过敏原或过敏类信息的基础上，提示病人处方中是否存在与病人既往过敏原相关、可能导致类似过敏反应的药品。帮助医生或药师合理用药，防止药物不良事件的发生。</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妊娠用药审查</w:t>
            </w:r>
          </w:p>
          <w:p>
            <w:pPr>
              <w:pStyle w:val="null3"/>
              <w:ind w:left="435" w:right="45" w:firstLine="480"/>
            </w:pPr>
            <w:r>
              <w:rPr>
                <w:rFonts w:ascii="仿宋_GB2312" w:hAnsi="仿宋_GB2312" w:cs="仿宋_GB2312" w:eastAsia="仿宋_GB2312"/>
                <w:sz w:val="24"/>
                <w:color w:val="000000"/>
              </w:rPr>
              <w:t>支持当病人为妊娠期妇女时，检查病人处方中是否存在不适于妊娠期使用的药品。帮助医生或药师在病人妊娠期间合理用药，提高妊娠用药安全性。</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哺乳用药审查</w:t>
            </w:r>
          </w:p>
          <w:p>
            <w:pPr>
              <w:pStyle w:val="null3"/>
              <w:ind w:left="435" w:right="45" w:firstLine="480"/>
            </w:pPr>
            <w:r>
              <w:rPr>
                <w:rFonts w:ascii="仿宋_GB2312" w:hAnsi="仿宋_GB2312" w:cs="仿宋_GB2312" w:eastAsia="仿宋_GB2312"/>
                <w:sz w:val="24"/>
                <w:color w:val="000000"/>
              </w:rPr>
              <w:t>支持哺乳期妇女用药时，药物除对母亲产生影响外，还可通过乳汁进入婴儿体内，从而对婴儿也产生影响。本审查功能可提示当病人为哺乳期妇女时，检查病人处方中是否存在不适宜哺乳妇女使用的药品。帮助医生或药师在病人哺乳期间合理用药，防止针对哺乳妇女和乳儿的药物不良事件发生。</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肝损用药审查</w:t>
            </w:r>
          </w:p>
          <w:p>
            <w:pPr>
              <w:pStyle w:val="null3"/>
              <w:ind w:left="435" w:right="45" w:firstLine="480"/>
            </w:pPr>
            <w:r>
              <w:rPr>
                <w:rFonts w:ascii="仿宋_GB2312" w:hAnsi="仿宋_GB2312" w:cs="仿宋_GB2312" w:eastAsia="仿宋_GB2312"/>
                <w:sz w:val="24"/>
                <w:color w:val="000000"/>
              </w:rPr>
              <w:t>由于病人存在肝功能损害时肌体对药物的吸收、代谢、排泄等均受到影响，给药剂量与具体使用范围有一定差异，需检测该类人群使用药品是否合理，如果患者为肝损伤患者需要对于某些特殊药品禁用或者慎用，则系统发出警告提醒医生可能需要调整病人的用药。</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药物禁忌症审查</w:t>
            </w:r>
          </w:p>
          <w:p>
            <w:pPr>
              <w:pStyle w:val="null3"/>
              <w:ind w:left="435" w:right="45" w:firstLine="480"/>
            </w:pPr>
            <w:r>
              <w:rPr>
                <w:rFonts w:ascii="仿宋_GB2312" w:hAnsi="仿宋_GB2312" w:cs="仿宋_GB2312" w:eastAsia="仿宋_GB2312"/>
                <w:sz w:val="24"/>
                <w:color w:val="000000"/>
              </w:rPr>
              <w:t>支持将病人的疾病情况与药物禁忌症关联起来，若处方中的药品禁忌症与病人疾病情况相关时，说明病人存在使用某个药物的禁忌症，则系统发出警告提醒医生可能需要调整病人的处方药品或更改药物治疗方案。</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中药饮片审查</w:t>
            </w:r>
          </w:p>
          <w:p>
            <w:pPr>
              <w:pStyle w:val="null3"/>
              <w:ind w:left="435" w:right="45" w:firstLine="480"/>
            </w:pPr>
            <w:r>
              <w:rPr>
                <w:rFonts w:ascii="仿宋_GB2312" w:hAnsi="仿宋_GB2312" w:cs="仿宋_GB2312" w:eastAsia="仿宋_GB2312"/>
                <w:sz w:val="24"/>
                <w:color w:val="000000"/>
              </w:rPr>
              <w:t>支持饮片十八反、十九畏的配伍审查。</w:t>
            </w:r>
          </w:p>
          <w:p>
            <w:pPr>
              <w:pStyle w:val="null3"/>
              <w:ind w:left="435" w:right="45" w:firstLine="480"/>
            </w:pPr>
            <w:r>
              <w:rPr>
                <w:rFonts w:ascii="仿宋_GB2312" w:hAnsi="仿宋_GB2312" w:cs="仿宋_GB2312" w:eastAsia="仿宋_GB2312"/>
                <w:sz w:val="24"/>
                <w:color w:val="000000"/>
              </w:rPr>
              <w:t>支持中药饮片的用药用量审查。</w:t>
            </w:r>
          </w:p>
          <w:p>
            <w:pPr>
              <w:pStyle w:val="null3"/>
              <w:ind w:left="435" w:right="45" w:firstLine="480"/>
            </w:pPr>
            <w:r>
              <w:rPr>
                <w:rFonts w:ascii="仿宋_GB2312" w:hAnsi="仿宋_GB2312" w:cs="仿宋_GB2312" w:eastAsia="仿宋_GB2312"/>
                <w:sz w:val="24"/>
                <w:color w:val="000000"/>
              </w:rPr>
              <w:t>支持中药饮片病生状态审查，会针对具体特殊人群提示相应的饮片审查问题。</w:t>
            </w:r>
          </w:p>
          <w:p>
            <w:pPr>
              <w:pStyle w:val="null3"/>
              <w:ind w:left="435" w:right="45" w:firstLine="480"/>
            </w:pPr>
            <w:r>
              <w:rPr>
                <w:rFonts w:ascii="仿宋_GB2312" w:hAnsi="仿宋_GB2312" w:cs="仿宋_GB2312" w:eastAsia="仿宋_GB2312"/>
                <w:sz w:val="24"/>
                <w:color w:val="000000"/>
              </w:rPr>
              <w:t>支持中药饮片年龄用药审查。</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审查规则管理</w:t>
            </w:r>
          </w:p>
          <w:p>
            <w:pPr>
              <w:pStyle w:val="null3"/>
              <w:ind w:left="435" w:right="45" w:firstLine="480"/>
            </w:pPr>
            <w:r>
              <w:rPr>
                <w:rFonts w:ascii="仿宋_GB2312" w:hAnsi="仿宋_GB2312" w:cs="仿宋_GB2312" w:eastAsia="仿宋_GB2312"/>
                <w:sz w:val="24"/>
                <w:color w:val="000000"/>
              </w:rPr>
              <w:t>支持通过采用警示级别的设置，对审查出的不合理问题实现按严重程度进行区分：分为禁用级别，不适用级别，慎用级别，密切关注级别和普通关注级别。</w:t>
            </w:r>
          </w:p>
          <w:p>
            <w:pPr>
              <w:pStyle w:val="null3"/>
              <w:ind w:left="435" w:right="45" w:firstLine="480"/>
            </w:pPr>
            <w:r>
              <w:rPr>
                <w:rFonts w:ascii="仿宋_GB2312" w:hAnsi="仿宋_GB2312" w:cs="仿宋_GB2312" w:eastAsia="仿宋_GB2312"/>
                <w:sz w:val="24"/>
                <w:color w:val="000000"/>
              </w:rPr>
              <w:t>对于审查级别支持根据不同医院设置不同的审查规则，对于各个医院级别不同制定不同策略。</w:t>
            </w:r>
          </w:p>
          <w:p>
            <w:pPr>
              <w:pStyle w:val="null3"/>
              <w:ind w:left="435" w:right="45" w:firstLine="480"/>
            </w:pPr>
            <w:r>
              <w:rPr>
                <w:rFonts w:ascii="仿宋_GB2312" w:hAnsi="仿宋_GB2312" w:cs="仿宋_GB2312" w:eastAsia="仿宋_GB2312"/>
                <w:sz w:val="24"/>
                <w:color w:val="000000"/>
              </w:rPr>
              <w:t>支持针对固定医院不同科室或医生制定不同的审查规则，对于重点科室或者重点医生可以提高审查级别和审查范围，更好的辅助医院进行管理。</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中药饮片规则</w:t>
            </w:r>
          </w:p>
          <w:p>
            <w:pPr>
              <w:pStyle w:val="null3"/>
              <w:ind w:left="435" w:right="45" w:firstLine="480"/>
            </w:pPr>
            <w:r>
              <w:rPr>
                <w:rFonts w:ascii="仿宋_GB2312" w:hAnsi="仿宋_GB2312" w:cs="仿宋_GB2312" w:eastAsia="仿宋_GB2312"/>
                <w:sz w:val="24"/>
                <w:color w:val="000000"/>
              </w:rPr>
              <w:t>支持中药饮片用法规则调整，可以自定义设置中药饮片的用法、循证来源和风险等级。</w:t>
            </w:r>
          </w:p>
          <w:p>
            <w:pPr>
              <w:pStyle w:val="null3"/>
              <w:ind w:left="435" w:right="45" w:firstLine="480"/>
            </w:pPr>
            <w:r>
              <w:rPr>
                <w:rFonts w:ascii="仿宋_GB2312" w:hAnsi="仿宋_GB2312" w:cs="仿宋_GB2312" w:eastAsia="仿宋_GB2312"/>
                <w:sz w:val="24"/>
                <w:color w:val="000000"/>
              </w:rPr>
              <w:t>支持中药饮片用量规则调整，可以自定义设置中药饮片的用量上限下限和循证来源。</w:t>
            </w:r>
          </w:p>
          <w:p>
            <w:pPr>
              <w:pStyle w:val="null3"/>
              <w:ind w:left="435" w:right="45" w:firstLine="480"/>
            </w:pPr>
            <w:r>
              <w:rPr>
                <w:rFonts w:ascii="仿宋_GB2312" w:hAnsi="仿宋_GB2312" w:cs="仿宋_GB2312" w:eastAsia="仿宋_GB2312"/>
                <w:sz w:val="24"/>
                <w:color w:val="000000"/>
              </w:rPr>
              <w:t>支持中药饮片病生用药规则调整，可以自定义设置中药饮片在肝肾哺乳妊娠等病生状态下的风险等级和循证来源。</w:t>
            </w:r>
          </w:p>
          <w:p>
            <w:pPr>
              <w:pStyle w:val="null3"/>
              <w:ind w:left="435" w:right="45" w:firstLine="480"/>
            </w:pPr>
            <w:r>
              <w:rPr>
                <w:rFonts w:ascii="仿宋_GB2312" w:hAnsi="仿宋_GB2312" w:cs="仿宋_GB2312" w:eastAsia="仿宋_GB2312"/>
                <w:sz w:val="24"/>
                <w:color w:val="000000"/>
              </w:rPr>
              <w:t>支持中药饮片年龄用药规则调整，可以自定义设置中药饮片不同年龄范围内用药的风险等级。</w:t>
            </w:r>
          </w:p>
          <w:p>
            <w:pPr>
              <w:pStyle w:val="null3"/>
              <w:ind w:left="435" w:right="45" w:firstLine="480"/>
            </w:pPr>
            <w:r>
              <w:rPr>
                <w:rFonts w:ascii="仿宋_GB2312" w:hAnsi="仿宋_GB2312" w:cs="仿宋_GB2312" w:eastAsia="仿宋_GB2312"/>
                <w:sz w:val="24"/>
                <w:color w:val="000000"/>
              </w:rPr>
              <w:t>系统支持自定义规则审核后立即生效（不需要重启服务器）；可快速实现中药饮片处方</w:t>
            </w:r>
            <w:r>
              <w:rPr>
                <w:rFonts w:ascii="仿宋_GB2312" w:hAnsi="仿宋_GB2312" w:cs="仿宋_GB2312" w:eastAsia="仿宋_GB2312"/>
                <w:sz w:val="24"/>
                <w:color w:val="000000"/>
              </w:rPr>
              <w:t>/医嘱的干预、查询、分析和统计。</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西药知识信息</w:t>
            </w:r>
          </w:p>
          <w:p>
            <w:pPr>
              <w:pStyle w:val="null3"/>
              <w:ind w:left="435" w:right="45" w:firstLine="480"/>
            </w:pPr>
            <w:r>
              <w:rPr>
                <w:rFonts w:ascii="仿宋_GB2312" w:hAnsi="仿宋_GB2312" w:cs="仿宋_GB2312" w:eastAsia="仿宋_GB2312"/>
                <w:sz w:val="24"/>
                <w:color w:val="000000"/>
              </w:rPr>
              <w:t>可以根据疾病名称等关键词查询几千种西医疾病的介绍，包括疾病概述、诊断要点、鉴别诊断、检查、治疗、预后等。</w:t>
            </w:r>
          </w:p>
          <w:p>
            <w:pPr>
              <w:pStyle w:val="null3"/>
              <w:ind w:left="435" w:right="45" w:firstLine="480"/>
            </w:pPr>
            <w:r>
              <w:rPr>
                <w:rFonts w:ascii="仿宋_GB2312" w:hAnsi="仿宋_GB2312" w:cs="仿宋_GB2312" w:eastAsia="仿宋_GB2312"/>
                <w:sz w:val="24"/>
                <w:color w:val="000000"/>
              </w:rPr>
              <w:t>可以根据药物成分查询上万种药品的具体药理作用、适应症、注意事项、不良反应、用法用量等信息。</w:t>
            </w:r>
          </w:p>
          <w:p>
            <w:pPr>
              <w:pStyle w:val="null3"/>
              <w:ind w:left="435" w:right="45" w:firstLine="480"/>
            </w:pPr>
            <w:r>
              <w:rPr>
                <w:rFonts w:ascii="仿宋_GB2312" w:hAnsi="仿宋_GB2312" w:cs="仿宋_GB2312" w:eastAsia="仿宋_GB2312"/>
                <w:sz w:val="24"/>
                <w:color w:val="000000"/>
              </w:rPr>
              <w:t>支持根据手术名称查询西医手术概述，可根据具体科室分类查询相应科室的手术信息，具体手术信息包含明细的，包括手术名称，手术</w:t>
            </w:r>
            <w:r>
              <w:rPr>
                <w:rFonts w:ascii="仿宋_GB2312" w:hAnsi="仿宋_GB2312" w:cs="仿宋_GB2312" w:eastAsia="仿宋_GB2312"/>
                <w:sz w:val="24"/>
                <w:color w:val="000000"/>
              </w:rPr>
              <w:t>icd9编码，手术概述，适应症，术前准备和相应的麻醉等相关操作信息，具体信息还包含相关手术的图解说明。</w:t>
            </w:r>
          </w:p>
          <w:p>
            <w:pPr>
              <w:pStyle w:val="null3"/>
              <w:ind w:left="435" w:right="45" w:firstLine="480"/>
            </w:pPr>
            <w:r>
              <w:rPr>
                <w:rFonts w:ascii="仿宋_GB2312" w:hAnsi="仿宋_GB2312" w:cs="仿宋_GB2312" w:eastAsia="仿宋_GB2312"/>
                <w:sz w:val="24"/>
                <w:color w:val="000000"/>
              </w:rPr>
              <w:t>支持查询西医国家标准的临床路径。</w:t>
            </w:r>
          </w:p>
          <w:p>
            <w:pPr>
              <w:pStyle w:val="null3"/>
              <w:ind w:left="435" w:right="45" w:firstLine="480"/>
            </w:pPr>
            <w:r>
              <w:rPr>
                <w:rFonts w:ascii="仿宋_GB2312" w:hAnsi="仿宋_GB2312" w:cs="仿宋_GB2312" w:eastAsia="仿宋_GB2312"/>
                <w:sz w:val="24"/>
                <w:color w:val="000000"/>
              </w:rPr>
              <w:t>支持查询常用临床检验信息，包括检验介绍、检验值范围、临床意义等。</w:t>
            </w:r>
          </w:p>
          <w:p>
            <w:pPr>
              <w:pStyle w:val="null3"/>
              <w:spacing w:after="150"/>
              <w:ind w:firstLine="480"/>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中药知识信息</w:t>
            </w:r>
          </w:p>
          <w:p>
            <w:pPr>
              <w:pStyle w:val="null3"/>
              <w:ind w:left="435" w:right="45" w:firstLine="480"/>
            </w:pPr>
            <w:r>
              <w:rPr>
                <w:rFonts w:ascii="仿宋_GB2312" w:hAnsi="仿宋_GB2312" w:cs="仿宋_GB2312" w:eastAsia="仿宋_GB2312"/>
                <w:sz w:val="24"/>
                <w:color w:val="000000"/>
              </w:rPr>
              <w:t>包含中医疾病介绍，可以根据疾病名称等关键字查询相关疾病的病因、病理、临床表现等详细疾病信息，支持查询中医国家标准临床路径，支持查询中医国家标准诊疗方案。</w:t>
            </w:r>
          </w:p>
          <w:p>
            <w:pPr>
              <w:pStyle w:val="null3"/>
              <w:ind w:left="435" w:right="45" w:firstLine="480"/>
            </w:pPr>
            <w:r>
              <w:rPr>
                <w:rFonts w:ascii="仿宋_GB2312" w:hAnsi="仿宋_GB2312" w:cs="仿宋_GB2312" w:eastAsia="仿宋_GB2312"/>
                <w:sz w:val="24"/>
                <w:color w:val="000000"/>
              </w:rPr>
              <w:t>包含中医典籍查询，其中可以根据具体疾病和症状查询相关现代具体医案，可以根据名医专家姓名查询相关医案。</w:t>
            </w:r>
          </w:p>
          <w:p>
            <w:pPr>
              <w:pStyle w:val="null3"/>
              <w:ind w:left="435" w:right="45" w:firstLine="480"/>
            </w:pPr>
            <w:r>
              <w:rPr>
                <w:rFonts w:ascii="仿宋_GB2312" w:hAnsi="仿宋_GB2312" w:cs="仿宋_GB2312" w:eastAsia="仿宋_GB2312"/>
                <w:sz w:val="24"/>
                <w:color w:val="000000"/>
              </w:rPr>
              <w:t>包含各种中医术语查询，可以以字母为分类查询相关中医各类字典术语，可以根据中医疾病名查询具体中医疾病术语，可以查询中医治法术语的含义，可以查询中医症候术语含义，可以查询中医药四气五味归经等基础理论术语的含义。</w:t>
            </w:r>
          </w:p>
          <w:p>
            <w:pPr>
              <w:pStyle w:val="null3"/>
              <w:ind w:left="435" w:right="45" w:firstLine="480"/>
            </w:pPr>
            <w:r>
              <w:rPr>
                <w:rFonts w:ascii="仿宋_GB2312" w:hAnsi="仿宋_GB2312" w:cs="仿宋_GB2312" w:eastAsia="仿宋_GB2312"/>
                <w:sz w:val="24"/>
                <w:color w:val="000000"/>
              </w:rPr>
              <w:t>中医方剂大全，包含各类中医方剂的详细介绍，包含方剂简介，组成、功效、主治，用法，加减、方解、验案，禁忌等详细介绍。</w:t>
            </w:r>
          </w:p>
          <w:p>
            <w:pPr>
              <w:pStyle w:val="null3"/>
              <w:ind w:left="435" w:right="45" w:firstLine="480"/>
            </w:pPr>
            <w:r>
              <w:rPr>
                <w:rFonts w:ascii="仿宋_GB2312" w:hAnsi="仿宋_GB2312" w:cs="仿宋_GB2312" w:eastAsia="仿宋_GB2312"/>
                <w:sz w:val="24"/>
                <w:color w:val="000000"/>
              </w:rPr>
              <w:t>中药饮片百科，包含所有饮片的主治功能、性味归经、用法用量、功效、注意事项、药理作用等相关详细介绍。</w:t>
            </w:r>
          </w:p>
          <w:p>
            <w:pPr>
              <w:pStyle w:val="null3"/>
              <w:ind w:firstLine="480"/>
            </w:pPr>
            <w:r>
              <w:rPr>
                <w:rFonts w:ascii="仿宋_GB2312" w:hAnsi="仿宋_GB2312" w:cs="仿宋_GB2312" w:eastAsia="仿宋_GB2312"/>
                <w:sz w:val="24"/>
                <w:color w:val="000000"/>
              </w:rPr>
              <w:t>3、医保移动支付</w:t>
            </w:r>
          </w:p>
          <w:p>
            <w:pPr>
              <w:pStyle w:val="null3"/>
              <w:ind w:left="435" w:right="45" w:firstLine="480"/>
            </w:pPr>
            <w:r>
              <w:rPr>
                <w:rFonts w:ascii="仿宋_GB2312" w:hAnsi="仿宋_GB2312" w:cs="仿宋_GB2312" w:eastAsia="仿宋_GB2312"/>
                <w:sz w:val="24"/>
                <w:color w:val="000000"/>
              </w:rPr>
              <w:t>依据陕西省医疗保障局办公室《陕西省医疗保障局办公室关于加快推进医保移动支付应用的通知》（陕医保办函</w:t>
            </w:r>
            <w:r>
              <w:rPr>
                <w:rFonts w:ascii="仿宋_GB2312" w:hAnsi="仿宋_GB2312" w:cs="仿宋_GB2312" w:eastAsia="仿宋_GB2312"/>
                <w:sz w:val="24"/>
                <w:color w:val="000000"/>
              </w:rPr>
              <w:t>[2022] 71号）以“陕西医保”官方的微信小程序以及支付宝小程序等官方医保服务渠道，搭建陕西省医保移动支付官方服务应用平台。</w:t>
            </w:r>
          </w:p>
          <w:p>
            <w:pPr>
              <w:pStyle w:val="null3"/>
              <w:ind w:left="435" w:right="45" w:firstLine="480"/>
            </w:pPr>
            <w:r>
              <w:rPr>
                <w:rFonts w:ascii="仿宋_GB2312" w:hAnsi="仿宋_GB2312" w:cs="仿宋_GB2312" w:eastAsia="仿宋_GB2312"/>
                <w:sz w:val="24"/>
                <w:color w:val="000000"/>
              </w:rPr>
              <w:t>本次医保移动支付建设在医院微信公众号服务上（掌上医院），与现有系统无缝对接；</w:t>
            </w:r>
          </w:p>
          <w:p>
            <w:pPr>
              <w:pStyle w:val="null3"/>
              <w:ind w:firstLine="480"/>
            </w:pPr>
            <w:r>
              <w:rPr>
                <w:rFonts w:ascii="仿宋_GB2312" w:hAnsi="仿宋_GB2312" w:cs="仿宋_GB2312" w:eastAsia="仿宋_GB2312"/>
                <w:sz w:val="24"/>
              </w:rPr>
              <w:t>参考省医保局定点医药机构相关接口规范</w:t>
            </w:r>
            <w:r>
              <w:rPr>
                <w:rFonts w:ascii="仿宋_GB2312" w:hAnsi="仿宋_GB2312" w:cs="仿宋_GB2312" w:eastAsia="仿宋_GB2312"/>
                <w:sz w:val="24"/>
              </w:rPr>
              <w:t>。具体接口内容包括：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服务提供方：陕西医保移动支付</w:t>
            </w:r>
            <w:r>
              <w:rPr>
                <w:rFonts w:ascii="仿宋_GB2312" w:hAnsi="仿宋_GB2312" w:cs="仿宋_GB2312" w:eastAsia="仿宋_GB2312"/>
                <w:sz w:val="24"/>
              </w:rPr>
              <w:t xml:space="preserve">  </w:t>
            </w:r>
            <w:r>
              <w:rPr>
                <w:rFonts w:ascii="仿宋_GB2312" w:hAnsi="仿宋_GB2312" w:cs="仿宋_GB2312" w:eastAsia="仿宋_GB2312"/>
                <w:sz w:val="24"/>
              </w:rPr>
              <w:t>服务调用方：定点医药机构</w:t>
            </w:r>
          </w:p>
          <w:p>
            <w:pPr>
              <w:pStyle w:val="null3"/>
              <w:numPr>
                <w:ilvl w:val="0"/>
                <w:numId w:val="1"/>
              </w:numPr>
            </w:pPr>
            <w:r>
              <w:rPr>
                <w:rFonts w:ascii="仿宋_GB2312" w:hAnsi="仿宋_GB2312" w:cs="仿宋_GB2312" w:eastAsia="仿宋_GB2312"/>
                <w:sz w:val="24"/>
              </w:rPr>
              <w:t>医疗消息推送（</w:t>
            </w:r>
            <w:r>
              <w:rPr>
                <w:rFonts w:ascii="仿宋_GB2312" w:hAnsi="仿宋_GB2312" w:cs="仿宋_GB2312" w:eastAsia="仿宋_GB2312"/>
                <w:sz w:val="24"/>
              </w:rPr>
              <w:t>AMP_HOS_001）</w:t>
            </w:r>
          </w:p>
          <w:p>
            <w:pPr>
              <w:pStyle w:val="null3"/>
              <w:numPr>
                <w:ilvl w:val="0"/>
                <w:numId w:val="1"/>
              </w:numPr>
            </w:pPr>
            <w:r>
              <w:rPr>
                <w:rFonts w:ascii="仿宋_GB2312" w:hAnsi="仿宋_GB2312" w:cs="仿宋_GB2312" w:eastAsia="仿宋_GB2312"/>
                <w:sz w:val="24"/>
              </w:rPr>
              <w:t>平台退款申请（</w:t>
            </w:r>
            <w:r>
              <w:rPr>
                <w:rFonts w:ascii="仿宋_GB2312" w:hAnsi="仿宋_GB2312" w:cs="仿宋_GB2312" w:eastAsia="仿宋_GB2312"/>
                <w:sz w:val="24"/>
              </w:rPr>
              <w:t>AMP_HOS_002）</w:t>
            </w:r>
          </w:p>
          <w:p>
            <w:pPr>
              <w:pStyle w:val="null3"/>
              <w:numPr>
                <w:ilvl w:val="0"/>
                <w:numId w:val="1"/>
              </w:numPr>
            </w:pPr>
            <w:r>
              <w:rPr>
                <w:rFonts w:ascii="仿宋_GB2312" w:hAnsi="仿宋_GB2312" w:cs="仿宋_GB2312" w:eastAsia="仿宋_GB2312"/>
                <w:sz w:val="24"/>
              </w:rPr>
              <w:t>查询退款结果（</w:t>
            </w:r>
            <w:r>
              <w:rPr>
                <w:rFonts w:ascii="仿宋_GB2312" w:hAnsi="仿宋_GB2312" w:cs="仿宋_GB2312" w:eastAsia="仿宋_GB2312"/>
                <w:sz w:val="24"/>
              </w:rPr>
              <w:t>AMP_HOS_003）</w:t>
            </w:r>
          </w:p>
          <w:p>
            <w:pPr>
              <w:pStyle w:val="null3"/>
              <w:numPr>
                <w:ilvl w:val="0"/>
                <w:numId w:val="1"/>
              </w:numPr>
            </w:pPr>
            <w:r>
              <w:rPr>
                <w:rFonts w:ascii="仿宋_GB2312" w:hAnsi="仿宋_GB2312" w:cs="仿宋_GB2312" w:eastAsia="仿宋_GB2312"/>
                <w:sz w:val="24"/>
              </w:rPr>
              <w:t>对账文件获取</w:t>
            </w:r>
            <w:r>
              <w:rPr>
                <w:rFonts w:ascii="仿宋_GB2312" w:hAnsi="仿宋_GB2312" w:cs="仿宋_GB2312" w:eastAsia="仿宋_GB2312"/>
                <w:sz w:val="24"/>
              </w:rPr>
              <w:t>[可选]（AMP_HOS_004）</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服务提供方：定点医药机构</w:t>
            </w:r>
            <w:r>
              <w:rPr>
                <w:rFonts w:ascii="仿宋_GB2312" w:hAnsi="仿宋_GB2312" w:cs="仿宋_GB2312" w:eastAsia="仿宋_GB2312"/>
                <w:sz w:val="24"/>
              </w:rPr>
              <w:t xml:space="preserve">   </w:t>
            </w:r>
            <w:r>
              <w:rPr>
                <w:rFonts w:ascii="仿宋_GB2312" w:hAnsi="仿宋_GB2312" w:cs="仿宋_GB2312" w:eastAsia="仿宋_GB2312"/>
                <w:sz w:val="24"/>
              </w:rPr>
              <w:t>服务调用方：陕西医保移动支付</w:t>
            </w:r>
          </w:p>
          <w:p>
            <w:pPr>
              <w:pStyle w:val="null3"/>
              <w:numPr>
                <w:ilvl w:val="0"/>
                <w:numId w:val="1"/>
              </w:numPr>
            </w:pPr>
            <w:r>
              <w:rPr>
                <w:rFonts w:ascii="仿宋_GB2312" w:hAnsi="仿宋_GB2312" w:cs="仿宋_GB2312" w:eastAsia="仿宋_GB2312"/>
                <w:sz w:val="24"/>
              </w:rPr>
              <w:t>查询账户信息（</w:t>
            </w:r>
            <w:r>
              <w:rPr>
                <w:rFonts w:ascii="仿宋_GB2312" w:hAnsi="仿宋_GB2312" w:cs="仿宋_GB2312" w:eastAsia="仿宋_GB2312"/>
                <w:sz w:val="24"/>
              </w:rPr>
              <w:t>ORG_001）</w:t>
            </w:r>
          </w:p>
          <w:p>
            <w:pPr>
              <w:pStyle w:val="null3"/>
              <w:numPr>
                <w:ilvl w:val="0"/>
                <w:numId w:val="1"/>
              </w:numPr>
            </w:pPr>
            <w:r>
              <w:rPr>
                <w:rFonts w:ascii="仿宋_GB2312" w:hAnsi="仿宋_GB2312" w:cs="仿宋_GB2312" w:eastAsia="仿宋_GB2312"/>
                <w:sz w:val="24"/>
              </w:rPr>
              <w:t>查询费用列表（</w:t>
            </w:r>
            <w:r>
              <w:rPr>
                <w:rFonts w:ascii="仿宋_GB2312" w:hAnsi="仿宋_GB2312" w:cs="仿宋_GB2312" w:eastAsia="仿宋_GB2312"/>
                <w:sz w:val="24"/>
              </w:rPr>
              <w:t>ORG_002）</w:t>
            </w:r>
          </w:p>
          <w:p>
            <w:pPr>
              <w:pStyle w:val="null3"/>
              <w:numPr>
                <w:ilvl w:val="0"/>
                <w:numId w:val="1"/>
              </w:numPr>
            </w:pPr>
            <w:r>
              <w:rPr>
                <w:rFonts w:ascii="仿宋_GB2312" w:hAnsi="仿宋_GB2312" w:cs="仿宋_GB2312" w:eastAsia="仿宋_GB2312"/>
                <w:sz w:val="24"/>
              </w:rPr>
              <w:t>机构结算确认（</w:t>
            </w:r>
            <w:r>
              <w:rPr>
                <w:rFonts w:ascii="仿宋_GB2312" w:hAnsi="仿宋_GB2312" w:cs="仿宋_GB2312" w:eastAsia="仿宋_GB2312"/>
                <w:sz w:val="24"/>
              </w:rPr>
              <w:t>ORG_003）</w:t>
            </w:r>
          </w:p>
          <w:p>
            <w:pPr>
              <w:pStyle w:val="null3"/>
              <w:numPr>
                <w:ilvl w:val="0"/>
                <w:numId w:val="1"/>
              </w:numPr>
            </w:pPr>
            <w:r>
              <w:rPr>
                <w:rFonts w:ascii="仿宋_GB2312" w:hAnsi="仿宋_GB2312" w:cs="仿宋_GB2312" w:eastAsia="仿宋_GB2312"/>
                <w:sz w:val="24"/>
              </w:rPr>
              <w:t>查询结算结果（</w:t>
            </w:r>
            <w:r>
              <w:rPr>
                <w:rFonts w:ascii="仿宋_GB2312" w:hAnsi="仿宋_GB2312" w:cs="仿宋_GB2312" w:eastAsia="仿宋_GB2312"/>
                <w:sz w:val="24"/>
              </w:rPr>
              <w:t>ORG_004）</w:t>
            </w:r>
          </w:p>
          <w:p>
            <w:pPr>
              <w:pStyle w:val="null3"/>
              <w:numPr>
                <w:ilvl w:val="0"/>
                <w:numId w:val="1"/>
              </w:numPr>
            </w:pPr>
            <w:r>
              <w:rPr>
                <w:rFonts w:ascii="仿宋_GB2312" w:hAnsi="仿宋_GB2312" w:cs="仿宋_GB2312" w:eastAsia="仿宋_GB2312"/>
                <w:sz w:val="24"/>
              </w:rPr>
              <w:t>线上结算撤销</w:t>
            </w:r>
            <w:r>
              <w:rPr>
                <w:rFonts w:ascii="仿宋_GB2312" w:hAnsi="仿宋_GB2312" w:cs="仿宋_GB2312" w:eastAsia="仿宋_GB2312"/>
                <w:sz w:val="24"/>
              </w:rPr>
              <w:t>[可选]（ORG_005）</w:t>
            </w:r>
          </w:p>
          <w:p>
            <w:pPr>
              <w:pStyle w:val="null3"/>
              <w:numPr>
                <w:ilvl w:val="0"/>
                <w:numId w:val="1"/>
              </w:numPr>
            </w:pPr>
            <w:r>
              <w:rPr>
                <w:rFonts w:ascii="仿宋_GB2312" w:hAnsi="仿宋_GB2312" w:cs="仿宋_GB2312" w:eastAsia="仿宋_GB2312"/>
                <w:sz w:val="24"/>
              </w:rPr>
              <w:t>查询机构提醒</w:t>
            </w:r>
            <w:r>
              <w:rPr>
                <w:rFonts w:ascii="仿宋_GB2312" w:hAnsi="仿宋_GB2312" w:cs="仿宋_GB2312" w:eastAsia="仿宋_GB2312"/>
                <w:sz w:val="24"/>
              </w:rPr>
              <w:t>[可选]（ORG_006）</w:t>
            </w:r>
          </w:p>
          <w:p>
            <w:pPr>
              <w:pStyle w:val="null3"/>
              <w:numPr>
                <w:ilvl w:val="0"/>
                <w:numId w:val="1"/>
              </w:numPr>
            </w:pPr>
            <w:r>
              <w:rPr>
                <w:rFonts w:ascii="仿宋_GB2312" w:hAnsi="仿宋_GB2312" w:cs="仿宋_GB2312" w:eastAsia="仿宋_GB2312"/>
                <w:sz w:val="24"/>
              </w:rPr>
              <w:t>机构预下订单</w:t>
            </w:r>
            <w:r>
              <w:rPr>
                <w:rFonts w:ascii="仿宋_GB2312" w:hAnsi="仿宋_GB2312" w:cs="仿宋_GB2312" w:eastAsia="仿宋_GB2312"/>
                <w:sz w:val="24"/>
              </w:rPr>
              <w:t>[可选]（ORG_007）</w:t>
            </w:r>
          </w:p>
          <w:p>
            <w:pPr>
              <w:pStyle w:val="null3"/>
              <w:jc w:val="center"/>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提供专业的实施团队，各岗位职责分工明确，能满足本项目建设需要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合同签订1周后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维保期满1年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贰份、电子版壹份，纸质投标文件正副本分别胶装，标明供应商名称密封递交，开标结束后两个工作日递交至指定地点，线下递交文件地点：西安市浐灞生态区欧亚大道3639号丝路国际创意梦工厂一期5号楼610。 温馨提示 各供应商：在此我们特别善意地提醒您注意！ 1.请您仔细地阅读磋商文件并正确理解磋商文件中各项具体要求。2.请您严格按照磋商文件载明的投标响应文件格式要求编制响应文件。3.根据《西安市财政局关于促进政府采购公平竞争优化营商环境的通知》（市财函〔2021) 431 号）规定：供应商若不参与项目投标，应在递交投标响应文件截止前1个工作日内以书面形式，签字盖章后发送邮箱791503299@qq.com）告知采购代理机构。否则，采购代理机构可以向财政部门反映情况并提供相应的佐证。供应商一年内出现累计三次该情形，将被监管部门记录为失信行为。本项目要求供应商需在投标文件递交截止之日前提交投标承诺函，确认是否参与该项目投标活动，未按照要求提交投标承诺函参与该项目投标活动的供应商，将作为不良行为记录，被列入企业诚信黑名单。4.请您按照《陕西省财政厅关于政府采购供应商注册登记有关事项的通知》中的要求，通过陕西省政府采购网（http://www.ccgp-shaanxi.gov.cn/）注册登记加入陕西省政府采购供应商库，并接受财政部门的监督管理。谨记上述提示，将有助您顺利地参加投标。若有什么需要帮助，请您与我们的工作人员联系，我们将竭诚为您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或事业单位法人证书等相关证件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tc>
        <w:tc>
          <w:tcPr>
            <w:tcW w:type="dxa" w:w="1661"/>
          </w:tcPr>
          <w:p>
            <w:pPr>
              <w:pStyle w:val="null3"/>
            </w:pPr>
            <w:r>
              <w:rPr>
                <w:rFonts w:ascii="仿宋_GB2312" w:hAnsi="仿宋_GB2312" w:cs="仿宋_GB2312" w:eastAsia="仿宋_GB2312"/>
              </w:rPr>
              <w:t>法人授权委托书.docx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提供2023年度或2024年度经审计的完整的财务审计报告(成立时间至提交投标文件截止时间不足一年的可提供成立后任意时段的资产负债表)，或其开标前六个月内基本存款账户开户银行出具的资信证明；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提供2024年8月至今已缴纳的至少三个月的纳税证明或完税证明，依法免税的单位应提供相关证明材料；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提供2024年8月至今任意三个月的社会保障资金缴存单据或社保机构开具的社会保险参保缴费情况证明，依法不需要缴纳社会保障资金的单位应提供相关证明材料；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单位负责人为同一人或者存在直接控股、管理关系的不同供应商（承包商），不得同时参加本项目的投标；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本项目不接受联合体投标,不得转包、不得再次分包（须提供声明函）。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磋商响应文件的签字、盖章符合磋商文件要求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履约能力评分索引表.docx 供应商业绩一览表.docx 供应商应提交的相关资格证明材料 报价表 人员安排评分索引表.docx 响应文件封面 残疾人福利性单位声明函 系统专业化能力评分索引表.docx 服务方案 法人授权委托书.docx 标的清单 响应函 供应商认为有必要补充说明的事宜.docx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磋商响应中没有出现磋商文件规定的其它无效文件情形。</w:t>
            </w:r>
          </w:p>
        </w:tc>
        <w:tc>
          <w:tcPr>
            <w:tcW w:type="dxa" w:w="1661"/>
          </w:tcPr>
          <w:p>
            <w:pPr>
              <w:pStyle w:val="null3"/>
            </w:pPr>
            <w:r>
              <w:rPr>
                <w:rFonts w:ascii="仿宋_GB2312" w:hAnsi="仿宋_GB2312" w:cs="仿宋_GB2312" w:eastAsia="仿宋_GB2312"/>
              </w:rPr>
              <w:t>服务内容及服务邀请应答表 中小企业声明函 商务应答表 履约能力评分索引表.docx 供应商业绩一览表.docx 供应商应提交的相关资格证明材料 报价表 人员安排评分索引表.docx 响应文件封面 残疾人福利性单位声明函 系统专业化能力评分索引表.docx 服务方案 法人授权委托书.docx 标的清单 响应函 供应商认为有必要补充说明的事宜.docx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服务内容及服务邀请应答表 中小企业声明函 商务应答表 履约能力评分索引表.docx 供应商业绩一览表.docx 供应商应提交的相关资格证明材料 报价表 人员安排评分索引表.docx 响应文件封面 残疾人福利性单位声明函 系统专业化能力评分索引表.docx 服务方案 法人授权委托书.docx 标的清单 响应函 供应商认为有必要补充说明的事宜.docx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产品技术参数和配置</w:t>
            </w:r>
          </w:p>
        </w:tc>
        <w:tc>
          <w:tcPr>
            <w:tcW w:type="dxa" w:w="2492"/>
          </w:tcPr>
          <w:p>
            <w:pPr>
              <w:pStyle w:val="null3"/>
            </w:pPr>
            <w:r>
              <w:rPr>
                <w:rFonts w:ascii="仿宋_GB2312" w:hAnsi="仿宋_GB2312" w:cs="仿宋_GB2312" w:eastAsia="仿宋_GB2312"/>
              </w:rPr>
              <w:t>根据磋商文件要求认真审核磋商响应文件中技术参数响应和提供的佐证材料。完全符合、响应采购文件要求或优于磋商文件要求的，没有负偏离得满分 满分20分；每有一项负偏离或缺漏项扣0.5分； 注：参数需提供佐证材料（佐证材料包含但不限于：产品功能说明、产品功能截图等内容，证明材料需加盖公章，未提供相关证明材料不得分。）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整体方案设计</w:t>
            </w:r>
          </w:p>
        </w:tc>
        <w:tc>
          <w:tcPr>
            <w:tcW w:type="dxa" w:w="2492"/>
          </w:tcPr>
          <w:p>
            <w:pPr>
              <w:pStyle w:val="null3"/>
            </w:pPr>
            <w:r>
              <w:rPr>
                <w:rFonts w:ascii="仿宋_GB2312" w:hAnsi="仿宋_GB2312" w:cs="仿宋_GB2312" w:eastAsia="仿宋_GB2312"/>
              </w:rPr>
              <w:t>投标人针对本项目提供整体方案设计，包含但不限于（①项目背景；②需求分析；③建设目标；④总体架构设计⑤系统安全设计等。）方案各部分内容全面详细、阐述条理清晰详尽、符合本项目采购需求，能有效保障本项目实施的计10分，每有一个缺项扣2分，每有一项内容不完整或有缺陷或与项目不匹配的，扣1分，扣完为止。 说明:内容不完整或有缺陷或与项目不匹配是指:非专门针对本项目或不适用项目特性的情形、内容不完整或缺少关键节点、套用其他项目方案、内容前后矛盾、涉及的规范。</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供应商依据项目需求提供实施方案，包括但不限于（①项目实施进度计划；②项目质量管控；③项目文档管理；④项目测试管理；⑤项目验收管理等）。 方案各部分内容全面详细、阐述条理清晰详尽、符合本项目采购需求，能有效保障本项目实施的计10分，每有一个缺项扣2分，每有一项内容不完整或有缺陷或与项目不匹配的，扣1分，扣完为止。 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供应商针对本项目实施过程中可能出现的突发事件提供应急方案（包括但不限于①应急事件分类；②应急机制；③应急响应时间；④应急人员；⑤应急保障措施等）。 方案各部分内容全面详细、阐述条理清晰详尽、符合本项目采购需求，能有效保障本项目实施的计5分，每有一个缺项扣1分，每有一项内容不完整或有缺陷或与项目不匹配的，扣0.5分，扣完为止。 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系统专业化能力</w:t>
            </w:r>
          </w:p>
        </w:tc>
        <w:tc>
          <w:tcPr>
            <w:tcW w:type="dxa" w:w="2492"/>
          </w:tcPr>
          <w:p>
            <w:pPr>
              <w:pStyle w:val="null3"/>
            </w:pPr>
            <w:r>
              <w:rPr>
                <w:rFonts w:ascii="仿宋_GB2312" w:hAnsi="仿宋_GB2312" w:cs="仿宋_GB2312" w:eastAsia="仿宋_GB2312"/>
              </w:rPr>
              <w:t>供应商须提供医院信息管理系统（HIS）、电子病历系统（EMR）、合理用药监测系统、移动支付、数据接口对接类计算机软件著作权登记证书。（投标人所提供的软著证书中，登记注册的软件名称可以与上述名称略有不同，但需包含对应功能/系统的相近关键字，否则不得分）。每提供一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系统专业化能力评分索引表.docx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人员安排</w:t>
            </w:r>
          </w:p>
        </w:tc>
        <w:tc>
          <w:tcPr>
            <w:tcW w:type="dxa" w:w="2492"/>
          </w:tcPr>
          <w:p>
            <w:pPr>
              <w:pStyle w:val="null3"/>
            </w:pPr>
            <w:r>
              <w:rPr>
                <w:rFonts w:ascii="仿宋_GB2312" w:hAnsi="仿宋_GB2312" w:cs="仿宋_GB2312" w:eastAsia="仿宋_GB2312"/>
              </w:rPr>
              <w:t>1、供应商针对本项目有专业的实施团队，各岗位职责分工明确，团队人数达到20人以上得3分，20-10人以下得2分，10人以下得1分。 2、供应商拟派项目经理具备人力资源和社会保障部门或工业和信息化部门认证的信息系统项目管理师得3分；具有类似相关从业经验，每提供一份证明材料得1分，共2分； （注：拟配备人员均需提供社保证明，未提供相关证明材料不得分。）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人员安排评分索引表.docx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投标人提供以下认证证书（认证范围必须与医疗信息系统的信息技术服务管理活动相关）：提供ISO9001、ISO14001、IS045001认证，提供一项得1分，满分3分。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履约能力评分索引表.docx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投标人提供培训方案（包括但不限于以下内容：①培训内容；②培训方式；③培训人员；④培训对象；⑤培训地点）。 方案各部分内容全面详细、阐述条理清晰详尽、符合本项目采购需求，能有效保障本项目实施的计10分，每有一个缺项扣2分，每有一项内容不完整或有缺陷或与项目不匹配的，扣1分，扣完为止。 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供应商提供售后服务方案（包括但不限于以下内容：①售后服务承诺；②质保方案；③售后团队人员；④故障解决）。 方案各部分内容全面详细、阐述条理清晰详尽、符合本项目采购需求，能有效保障本项目实施的计6分，每有一个缺项扣1.5分，每有一项内容不完整或有缺陷或与项目不匹配的，扣1分，扣完为止。 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提供2022年8月至投标截止日期前类似项目业绩，每提供1个得1分，满分3分(以合同协议书或中标（成交）通知书内容为准)。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满足磋商文件内容及技术要求且最后磋商报价最低的投标价为评标基准价，其价格分为满分。磋商报价得分=（评标基准价／最后磋商报价）×价格权值×100。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详见附件：系统专业化能力评分索引表.docx</w:t>
      </w:r>
    </w:p>
    <w:p>
      <w:pPr>
        <w:pStyle w:val="null3"/>
        <w:ind w:firstLine="960"/>
      </w:pPr>
      <w:r>
        <w:rPr>
          <w:rFonts w:ascii="仿宋_GB2312" w:hAnsi="仿宋_GB2312" w:cs="仿宋_GB2312" w:eastAsia="仿宋_GB2312"/>
        </w:rPr>
        <w:t>详见附件：人员安排评分索引表.docx</w:t>
      </w:r>
    </w:p>
    <w:p>
      <w:pPr>
        <w:pStyle w:val="null3"/>
        <w:ind w:firstLine="960"/>
      </w:pPr>
      <w:r>
        <w:rPr>
          <w:rFonts w:ascii="仿宋_GB2312" w:hAnsi="仿宋_GB2312" w:cs="仿宋_GB2312" w:eastAsia="仿宋_GB2312"/>
        </w:rPr>
        <w:t>详见附件：履约能力评分索引表.docx</w:t>
      </w:r>
    </w:p>
    <w:p>
      <w:pPr>
        <w:pStyle w:val="null3"/>
        <w:ind w:firstLine="960"/>
      </w:pPr>
      <w:r>
        <w:rPr>
          <w:rFonts w:ascii="仿宋_GB2312" w:hAnsi="仿宋_GB2312" w:cs="仿宋_GB2312" w:eastAsia="仿宋_GB2312"/>
        </w:rPr>
        <w:t>详见附件：供应商业绩一览表.docx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