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CA6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default" w:cs="Times New Roman" w:asciiTheme="minorHAnsi" w:hAnsiTheme="minorHAnsi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cs="Times New Roman" w:asciiTheme="minorHAnsi" w:hAnsiTheme="minorHAnsi" w:eastAsiaTheme="minorEastAsia"/>
          <w:b/>
          <w:bCs/>
          <w:sz w:val="28"/>
          <w:szCs w:val="28"/>
          <w:lang w:val="en-US" w:eastAsia="zh-CN"/>
        </w:rPr>
        <w:t>合理化建议</w:t>
      </w:r>
    </w:p>
    <w:p w14:paraId="1C11A5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jc w:val="center"/>
        <w:textAlignment w:val="auto"/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cs="Times New Roman" w:asciiTheme="minorHAnsi" w:hAnsiTheme="minorHAnsi" w:eastAsiaTheme="minorEastAsia"/>
          <w:b w:val="0"/>
          <w:bCs w:val="0"/>
          <w:sz w:val="24"/>
          <w:szCs w:val="24"/>
          <w:lang w:val="en-US" w:eastAsia="zh-CN"/>
        </w:rPr>
        <w:t>供应商根据评审办法格式自拟</w:t>
      </w:r>
    </w:p>
    <w:p w14:paraId="26EB011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A01D7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