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版本号：PZZX-25-B04120250911001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2025年省级水利发展资金西安市临潼区渭北农田排涝系统综合整治项目（三期）设计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PZZX-25-B041</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2025年省级水利发展资金西安市临潼区渭北农田排涝系统综合整治项目（三期）设计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2025年省级水利发展资金西安市临潼区渭北农田排涝系统综合整治项目（三期）设计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西安市临潼区渭北农田排涝系统综合整治项目（三期）设计主要是对临潼渭北地区大寨干沟叶沟村上游至（二期）陵雨干沟汇入口上游进行清淤疏浚和综合整治，提高现状排水沟道农田排水能力。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采购包1（2025年省级水利发展资金西安市临潼区渭北农田排涝系统综合整治项目（三期）设计）：属于专门面向中小企业采购。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3、供应商资质：供应商应具备水利行业乙级（含乙级）以上设计资质或水利行业（灌溉排涝）专业乙级（含乙级）以上设计资质；</w:t>
      </w:r>
    </w:p>
    <w:p>
      <w:pPr>
        <w:pStyle w:val="null3"/>
      </w:pPr>
      <w:r>
        <w:rPr>
          <w:rFonts w:ascii="仿宋_GB2312" w:hAnsi="仿宋_GB2312" w:cs="仿宋_GB2312" w:eastAsia="仿宋_GB2312"/>
        </w:rPr>
        <w:t>4、项目负责人：拟任项目设计负责人应具备水利相关专业中级及以上职称；</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13679223774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依据招标文件、合同约定及投标文件承诺等执行。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联系人：品智工程咨询有限公司</w:t>
      </w:r>
    </w:p>
    <w:p>
      <w:pPr>
        <w:pStyle w:val="null3"/>
      </w:pPr>
      <w:r>
        <w:rPr>
          <w:rFonts w:ascii="仿宋_GB2312" w:hAnsi="仿宋_GB2312" w:cs="仿宋_GB2312" w:eastAsia="仿宋_GB2312"/>
        </w:rPr>
        <w:t>联系电话：029-89600819</w:t>
      </w:r>
    </w:p>
    <w:p>
      <w:pPr>
        <w:pStyle w:val="null3"/>
      </w:pPr>
      <w:r>
        <w:rPr>
          <w:rFonts w:ascii="仿宋_GB2312" w:hAnsi="仿宋_GB2312" w:cs="仿宋_GB2312" w:eastAsia="仿宋_GB2312"/>
        </w:rPr>
        <w:t>地址：陕西省西安市未央区凤城八路与贞观路十字向北200米天和广场803室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西安市临潼区渭北农田排涝系统综合整治项目（三期）设计主要是对临潼渭北地区大寨干沟叶沟村上游至（二期）陵雨干沟汇入口上游进行清淤疏浚和综合整治，提高现状排水沟道农田排水能力。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623,500.00</w:t>
      </w:r>
    </w:p>
    <w:p>
      <w:pPr>
        <w:pStyle w:val="null3"/>
      </w:pPr>
      <w:r>
        <w:rPr>
          <w:rFonts w:ascii="仿宋_GB2312" w:hAnsi="仿宋_GB2312" w:cs="仿宋_GB2312" w:eastAsia="仿宋_GB2312"/>
        </w:rPr>
        <w:t>采购包最高限价（元）: 623,500.00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西安市临潼区渭北农田排涝系统综合整治项目（三期）设计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标的名称：西安市临潼区渭北农田排涝系统综合整治项目（三期）设计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西安市临潼区渭北农田排涝系统综合整治项目（三期）设计主要是对临潼渭北地区</w:t>
            </w:r>
            <w:r>
              <w:rPr>
                <w:rFonts w:ascii="仿宋_GB2312" w:hAnsi="仿宋_GB2312" w:cs="仿宋_GB2312" w:eastAsia="仿宋_GB2312"/>
                <w:sz w:val="24"/>
                <w:color w:val="000000"/>
              </w:rPr>
              <w:t>大寨干沟叶沟村上游至（二期）陵雨干沟汇入口上游</w:t>
            </w:r>
            <w:r>
              <w:rPr>
                <w:rFonts w:ascii="仿宋_GB2312" w:hAnsi="仿宋_GB2312" w:cs="仿宋_GB2312" w:eastAsia="仿宋_GB2312"/>
                <w:sz w:val="24"/>
                <w:color w:val="000000"/>
              </w:rPr>
              <w:t>进行清淤疏浚和综合整治，提高现状排水沟道农田排水能力。</w:t>
            </w:r>
          </w:p>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二、服务内容</w:t>
            </w:r>
          </w:p>
          <w:p>
            <w:pPr>
              <w:pStyle w:val="null3"/>
              <w:ind w:firstLine="482"/>
              <w:jc w:val="left"/>
            </w:pPr>
            <w:r>
              <w:rPr>
                <w:rFonts w:ascii="仿宋_GB2312" w:hAnsi="仿宋_GB2312" w:cs="仿宋_GB2312" w:eastAsia="仿宋_GB2312"/>
                <w:sz w:val="24"/>
                <w:b/>
                <w:color w:val="000000"/>
              </w:rPr>
              <w:t>（一）工程地点：</w:t>
            </w:r>
            <w:r>
              <w:rPr>
                <w:rFonts w:ascii="仿宋_GB2312" w:hAnsi="仿宋_GB2312" w:cs="仿宋_GB2312" w:eastAsia="仿宋_GB2312"/>
                <w:sz w:val="24"/>
                <w:color w:val="000000"/>
              </w:rPr>
              <w:t>项目所在地</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w:t>
            </w:r>
            <w:r>
              <w:rPr>
                <w:rFonts w:ascii="仿宋_GB2312" w:hAnsi="仿宋_GB2312" w:cs="仿宋_GB2312" w:eastAsia="仿宋_GB2312"/>
                <w:sz w:val="24"/>
                <w:b/>
                <w:color w:val="000000"/>
              </w:rPr>
              <w:t>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1）清淤疏浚大寨干沟叶沟村上游至（二期）陵雨干沟汇入口上游6.25km；2）新增界桩12个、安全警示标志牌2个；3）新增草皮护坡8877㎡。</w:t>
            </w:r>
            <w:r>
              <w:rPr>
                <w:rFonts w:ascii="仿宋_GB2312" w:hAnsi="仿宋_GB2312" w:cs="仿宋_GB2312" w:eastAsia="仿宋_GB2312"/>
                <w:sz w:val="24"/>
                <w:color w:val="000000"/>
              </w:rPr>
              <w:t>包含编制本项目的实施方案、工程概算、施工图及后续相关技术支持与服务等。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三、技术</w:t>
            </w:r>
            <w:r>
              <w:rPr>
                <w:rFonts w:ascii="仿宋_GB2312" w:hAnsi="仿宋_GB2312" w:cs="仿宋_GB2312" w:eastAsia="仿宋_GB2312"/>
                <w:sz w:val="24"/>
                <w:b/>
                <w:color w:val="000000"/>
              </w:rPr>
              <w:t>要求</w:t>
            </w:r>
          </w:p>
          <w:p>
            <w:pPr>
              <w:pStyle w:val="null3"/>
              <w:jc w:val="left"/>
            </w:pPr>
            <w:r>
              <w:rPr>
                <w:rFonts w:ascii="仿宋_GB2312" w:hAnsi="仿宋_GB2312" w:cs="仿宋_GB2312" w:eastAsia="仿宋_GB2312"/>
                <w:sz w:val="24"/>
                <w:b/>
                <w:color w:val="000000"/>
              </w:rPr>
              <w:t>（一）设计依据：</w:t>
            </w:r>
          </w:p>
          <w:p>
            <w:pPr>
              <w:pStyle w:val="null3"/>
              <w:ind w:firstLine="480"/>
              <w:jc w:val="left"/>
            </w:pPr>
            <w:r>
              <w:rPr>
                <w:rFonts w:ascii="仿宋_GB2312" w:hAnsi="仿宋_GB2312" w:cs="仿宋_GB2312" w:eastAsia="仿宋_GB2312"/>
                <w:sz w:val="24"/>
                <w:color w:val="000000"/>
              </w:rPr>
              <w:t>1）《水利水电工程等级划分及洪水标准》（SL252-2017）；</w:t>
            </w:r>
          </w:p>
          <w:p>
            <w:pPr>
              <w:pStyle w:val="null3"/>
              <w:ind w:firstLine="480"/>
              <w:jc w:val="left"/>
            </w:pPr>
            <w:r>
              <w:rPr>
                <w:rFonts w:ascii="仿宋_GB2312" w:hAnsi="仿宋_GB2312" w:cs="仿宋_GB2312" w:eastAsia="仿宋_GB2312"/>
                <w:sz w:val="24"/>
                <w:color w:val="000000"/>
              </w:rPr>
              <w:t>2）《灌溉排水工程项目初步设计报告编制规程》（SL/T533- 2021）；</w:t>
            </w:r>
          </w:p>
          <w:p>
            <w:pPr>
              <w:pStyle w:val="null3"/>
              <w:ind w:firstLine="480"/>
              <w:jc w:val="left"/>
            </w:pPr>
            <w:r>
              <w:rPr>
                <w:rFonts w:ascii="仿宋_GB2312" w:hAnsi="仿宋_GB2312" w:cs="仿宋_GB2312" w:eastAsia="仿宋_GB2312"/>
                <w:sz w:val="24"/>
                <w:color w:val="000000"/>
              </w:rPr>
              <w:t>3）《灌溉与排水工程设计标准》（GB50288-2018）；</w:t>
            </w:r>
          </w:p>
          <w:p>
            <w:pPr>
              <w:pStyle w:val="null3"/>
              <w:ind w:firstLine="480"/>
              <w:jc w:val="left"/>
            </w:pPr>
            <w:r>
              <w:rPr>
                <w:rFonts w:ascii="仿宋_GB2312" w:hAnsi="仿宋_GB2312" w:cs="仿宋_GB2312" w:eastAsia="仿宋_GB2312"/>
                <w:sz w:val="24"/>
                <w:color w:val="000000"/>
              </w:rPr>
              <w:t>4）《农田排水工程技术规范》（SL/T4-2020）；</w:t>
            </w:r>
          </w:p>
          <w:p>
            <w:pPr>
              <w:pStyle w:val="null3"/>
              <w:ind w:firstLine="480"/>
              <w:jc w:val="left"/>
            </w:pPr>
            <w:r>
              <w:rPr>
                <w:rFonts w:ascii="仿宋_GB2312" w:hAnsi="仿宋_GB2312" w:cs="仿宋_GB2312" w:eastAsia="仿宋_GB2312"/>
                <w:sz w:val="24"/>
                <w:color w:val="000000"/>
              </w:rPr>
              <w:t>5）《灌溉与排水渠系建筑物设计规范》(SL482-2011)；</w:t>
            </w:r>
          </w:p>
          <w:p>
            <w:pPr>
              <w:pStyle w:val="null3"/>
              <w:ind w:firstLine="480"/>
              <w:jc w:val="left"/>
            </w:pPr>
            <w:r>
              <w:rPr>
                <w:rFonts w:ascii="仿宋_GB2312" w:hAnsi="仿宋_GB2312" w:cs="仿宋_GB2312" w:eastAsia="仿宋_GB2312"/>
                <w:sz w:val="24"/>
                <w:color w:val="000000"/>
              </w:rPr>
              <w:t>6）《水工建筑物荷载标准》（GB/T 51394-2020）；</w:t>
            </w:r>
          </w:p>
          <w:p>
            <w:pPr>
              <w:pStyle w:val="null3"/>
              <w:ind w:firstLine="480"/>
              <w:jc w:val="left"/>
            </w:pPr>
            <w:r>
              <w:rPr>
                <w:rFonts w:ascii="仿宋_GB2312" w:hAnsi="仿宋_GB2312" w:cs="仿宋_GB2312" w:eastAsia="仿宋_GB2312"/>
                <w:sz w:val="24"/>
                <w:color w:val="000000"/>
              </w:rPr>
              <w:t>7）《水土保持工程设计规范》（GB51018-2014）；</w:t>
            </w:r>
          </w:p>
          <w:p>
            <w:pPr>
              <w:pStyle w:val="null3"/>
              <w:ind w:firstLine="480"/>
              <w:jc w:val="left"/>
            </w:pPr>
            <w:r>
              <w:rPr>
                <w:rFonts w:ascii="仿宋_GB2312" w:hAnsi="仿宋_GB2312" w:cs="仿宋_GB2312" w:eastAsia="仿宋_GB2312"/>
                <w:sz w:val="24"/>
                <w:color w:val="000000"/>
              </w:rPr>
              <w:t>8）《水工建筑物抗冰冻设计规范》（GB/T50662-2011）；</w:t>
            </w:r>
          </w:p>
          <w:p>
            <w:pPr>
              <w:pStyle w:val="null3"/>
              <w:ind w:firstLine="480"/>
              <w:jc w:val="left"/>
            </w:pPr>
            <w:r>
              <w:rPr>
                <w:rFonts w:ascii="仿宋_GB2312" w:hAnsi="仿宋_GB2312" w:cs="仿宋_GB2312" w:eastAsia="仿宋_GB2312"/>
                <w:sz w:val="24"/>
                <w:color w:val="000000"/>
              </w:rPr>
              <w:t>9）《公路桥涵设计通用规范》（JTGD60-2015）；</w:t>
            </w:r>
          </w:p>
          <w:p>
            <w:pPr>
              <w:pStyle w:val="null3"/>
              <w:ind w:firstLine="480"/>
              <w:jc w:val="left"/>
            </w:pPr>
            <w:r>
              <w:rPr>
                <w:rFonts w:ascii="仿宋_GB2312" w:hAnsi="仿宋_GB2312" w:cs="仿宋_GB2312" w:eastAsia="仿宋_GB2312"/>
                <w:sz w:val="24"/>
                <w:color w:val="000000"/>
              </w:rPr>
              <w:t>10）《公路工程技术标准》（JTGB01-2014）；</w:t>
            </w:r>
          </w:p>
          <w:p>
            <w:pPr>
              <w:pStyle w:val="null3"/>
              <w:ind w:firstLine="480"/>
              <w:jc w:val="left"/>
            </w:pPr>
            <w:r>
              <w:rPr>
                <w:rFonts w:ascii="仿宋_GB2312" w:hAnsi="仿宋_GB2312" w:cs="仿宋_GB2312" w:eastAsia="仿宋_GB2312"/>
                <w:sz w:val="24"/>
                <w:color w:val="000000"/>
              </w:rPr>
              <w:t>11）《水利工程建设标准强制性条文》（水利工程部分，2020年版）；</w:t>
            </w:r>
          </w:p>
          <w:p>
            <w:pPr>
              <w:pStyle w:val="null3"/>
              <w:ind w:firstLine="480"/>
              <w:jc w:val="left"/>
            </w:pPr>
            <w:r>
              <w:rPr>
                <w:rFonts w:ascii="仿宋_GB2312" w:hAnsi="仿宋_GB2312" w:cs="仿宋_GB2312" w:eastAsia="仿宋_GB2312"/>
                <w:sz w:val="24"/>
                <w:color w:val="000000"/>
              </w:rPr>
              <w:t>12）《水工混凝土结构设计规范》（SL191-2017）；</w:t>
            </w:r>
          </w:p>
          <w:p>
            <w:pPr>
              <w:pStyle w:val="null3"/>
              <w:ind w:firstLine="480"/>
              <w:jc w:val="left"/>
            </w:pPr>
            <w:r>
              <w:rPr>
                <w:rFonts w:ascii="仿宋_GB2312" w:hAnsi="仿宋_GB2312" w:cs="仿宋_GB2312" w:eastAsia="仿宋_GB2312"/>
                <w:sz w:val="24"/>
                <w:color w:val="000000"/>
              </w:rPr>
              <w:t>13）《水利水电工程合理使用年限及耐久性规范》（SL654-2014）；</w:t>
            </w:r>
          </w:p>
          <w:p>
            <w:pPr>
              <w:pStyle w:val="null3"/>
              <w:ind w:firstLine="480"/>
              <w:jc w:val="left"/>
            </w:pPr>
            <w:r>
              <w:rPr>
                <w:rFonts w:ascii="仿宋_GB2312" w:hAnsi="仿宋_GB2312" w:cs="仿宋_GB2312" w:eastAsia="仿宋_GB2312"/>
                <w:sz w:val="24"/>
                <w:color w:val="000000"/>
              </w:rPr>
              <w:t>14）《小交通量农村公路工程技术标准》（JTG2111-2019）；</w:t>
            </w:r>
          </w:p>
          <w:p>
            <w:pPr>
              <w:pStyle w:val="null3"/>
              <w:ind w:firstLine="480"/>
              <w:jc w:val="left"/>
            </w:pPr>
            <w:r>
              <w:rPr>
                <w:rFonts w:ascii="仿宋_GB2312" w:hAnsi="仿宋_GB2312" w:cs="仿宋_GB2312" w:eastAsia="仿宋_GB2312"/>
                <w:sz w:val="24"/>
                <w:color w:val="000000"/>
              </w:rPr>
              <w:t>15）《水利水电工程边坡设计规范》（SL 386-2007）；</w:t>
            </w:r>
          </w:p>
          <w:p>
            <w:pPr>
              <w:pStyle w:val="null3"/>
              <w:ind w:firstLine="480"/>
              <w:jc w:val="left"/>
            </w:pPr>
            <w:r>
              <w:rPr>
                <w:rFonts w:ascii="仿宋_GB2312" w:hAnsi="仿宋_GB2312" w:cs="仿宋_GB2312" w:eastAsia="仿宋_GB2312"/>
                <w:sz w:val="24"/>
                <w:color w:val="000000"/>
              </w:rPr>
              <w:t>16）《水利水电工程设计工程量计算规定》（SL328-2018）。</w:t>
            </w:r>
          </w:p>
          <w:p>
            <w:pPr>
              <w:pStyle w:val="null3"/>
              <w:jc w:val="left"/>
            </w:pPr>
            <w:r>
              <w:rPr>
                <w:rFonts w:ascii="仿宋_GB2312" w:hAnsi="仿宋_GB2312" w:cs="仿宋_GB2312" w:eastAsia="仿宋_GB2312"/>
                <w:sz w:val="24"/>
                <w:b/>
                <w:color w:val="000000"/>
              </w:rPr>
              <w:t>（二）其他资料</w:t>
            </w:r>
          </w:p>
          <w:p>
            <w:pPr>
              <w:pStyle w:val="null3"/>
              <w:ind w:firstLine="480"/>
              <w:jc w:val="left"/>
            </w:pPr>
            <w:r>
              <w:rPr>
                <w:rFonts w:ascii="仿宋_GB2312" w:hAnsi="仿宋_GB2312" w:cs="仿宋_GB2312" w:eastAsia="仿宋_GB2312"/>
                <w:sz w:val="24"/>
                <w:color w:val="000000"/>
              </w:rPr>
              <w:t>1）《西安市临潼区相排干沟一河一策方案》(2017 年-2020 年)；</w:t>
            </w:r>
          </w:p>
          <w:p>
            <w:pPr>
              <w:pStyle w:val="null3"/>
              <w:ind w:firstLine="480"/>
              <w:jc w:val="left"/>
            </w:pPr>
            <w:r>
              <w:rPr>
                <w:rFonts w:ascii="仿宋_GB2312" w:hAnsi="仿宋_GB2312" w:cs="仿宋_GB2312" w:eastAsia="仿宋_GB2312"/>
                <w:sz w:val="24"/>
                <w:color w:val="000000"/>
              </w:rPr>
              <w:t>2）《西安市临潼区相排干沟排水系统清淤疏浚改造工程建设方</w:t>
            </w:r>
            <w:r>
              <w:rPr>
                <w:rFonts w:ascii="仿宋_GB2312" w:hAnsi="仿宋_GB2312" w:cs="仿宋_GB2312" w:eastAsia="仿宋_GB2312"/>
                <w:sz w:val="24"/>
                <w:color w:val="000000"/>
              </w:rPr>
              <w:t>案》；</w:t>
            </w:r>
          </w:p>
          <w:p>
            <w:pPr>
              <w:pStyle w:val="null3"/>
              <w:ind w:left="480"/>
              <w:jc w:val="left"/>
            </w:pPr>
            <w:r>
              <w:rPr>
                <w:rFonts w:ascii="仿宋_GB2312" w:hAnsi="仿宋_GB2312" w:cs="仿宋_GB2312" w:eastAsia="仿宋_GB2312"/>
                <w:sz w:val="24"/>
                <w:color w:val="000000"/>
              </w:rPr>
              <w:t>3）《西安市临潼区渭北农田排涝系统综合整治工程可行性研究报告》及其批复；</w:t>
            </w:r>
          </w:p>
          <w:p>
            <w:pPr>
              <w:pStyle w:val="null3"/>
              <w:ind w:left="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区政府专题会议纪要、区水务局调研报告等相关资料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四、服务要求</w:t>
            </w:r>
          </w:p>
          <w:p>
            <w:pPr>
              <w:pStyle w:val="null3"/>
              <w:ind w:firstLine="480"/>
              <w:jc w:val="left"/>
            </w:pPr>
            <w:r>
              <w:rPr>
                <w:rFonts w:ascii="仿宋_GB2312" w:hAnsi="仿宋_GB2312" w:cs="仿宋_GB2312" w:eastAsia="仿宋_GB2312"/>
                <w:sz w:val="24"/>
                <w:color w:val="000000"/>
              </w:rPr>
              <w:t>服务标准：满足国家、省市相关规范要求及采购人要求。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、其他</w:t>
            </w:r>
          </w:p>
          <w:p>
            <w:pPr>
              <w:pStyle w:val="null3"/>
              <w:ind w:firstLine="482"/>
              <w:jc w:val="left"/>
            </w:pPr>
            <w:r>
              <w:rPr>
                <w:rFonts w:ascii="仿宋_GB2312" w:hAnsi="仿宋_GB2312" w:cs="仿宋_GB2312" w:eastAsia="仿宋_GB2312"/>
                <w:sz w:val="24"/>
                <w:b/>
                <w:color w:val="000000"/>
              </w:rPr>
              <w:t>（一）对供应商的业绩要求</w:t>
            </w:r>
          </w:p>
          <w:p>
            <w:pPr>
              <w:pStyle w:val="null3"/>
              <w:ind w:firstLine="480"/>
              <w:jc w:val="left"/>
            </w:pPr>
            <w:r>
              <w:rPr>
                <w:rFonts w:ascii="仿宋_GB2312" w:hAnsi="仿宋_GB2312" w:cs="仿宋_GB2312" w:eastAsia="仿宋_GB2312"/>
                <w:sz w:val="24"/>
                <w:color w:val="000000"/>
              </w:rPr>
              <w:t>近</w:t>
            </w:r>
            <w:r>
              <w:rPr>
                <w:rFonts w:ascii="仿宋_GB2312" w:hAnsi="仿宋_GB2312" w:cs="仿宋_GB2312" w:eastAsia="仿宋_GB2312"/>
                <w:sz w:val="24"/>
                <w:color w:val="000000"/>
              </w:rPr>
              <w:t>五</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20</w:t>
            </w:r>
            <w:r>
              <w:rPr>
                <w:rFonts w:ascii="仿宋_GB2312" w:hAnsi="仿宋_GB2312" w:cs="仿宋_GB2312" w:eastAsia="仿宋_GB2312"/>
                <w:sz w:val="24"/>
                <w:color w:val="000000"/>
              </w:rPr>
              <w:t>21</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1月1日至今）类似业绩</w:t>
            </w:r>
            <w:r>
              <w:rPr>
                <w:rFonts w:ascii="仿宋_GB2312" w:hAnsi="仿宋_GB2312" w:cs="仿宋_GB2312" w:eastAsia="仿宋_GB2312"/>
                <w:sz w:val="24"/>
                <w:color w:val="000000"/>
              </w:rPr>
              <w:t>(以</w:t>
            </w:r>
            <w:r>
              <w:rPr>
                <w:rFonts w:ascii="仿宋_GB2312" w:hAnsi="仿宋_GB2312" w:cs="仿宋_GB2312" w:eastAsia="仿宋_GB2312"/>
                <w:sz w:val="24"/>
                <w:color w:val="000000"/>
              </w:rPr>
              <w:t>合同协议书或中标通知书为准）</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（二）成果交付要求</w:t>
            </w:r>
          </w:p>
          <w:p>
            <w:pPr>
              <w:pStyle w:val="null3"/>
              <w:ind w:firstLine="240"/>
              <w:jc w:val="left"/>
            </w:pPr>
            <w:r>
              <w:rPr>
                <w:rFonts w:ascii="仿宋_GB2312" w:hAnsi="仿宋_GB2312" w:cs="仿宋_GB2312" w:eastAsia="仿宋_GB2312"/>
                <w:sz w:val="24"/>
                <w:color w:val="000000"/>
              </w:rPr>
              <w:t>1、工程</w:t>
            </w:r>
            <w:r>
              <w:rPr>
                <w:rFonts w:ascii="仿宋_GB2312" w:hAnsi="仿宋_GB2312" w:cs="仿宋_GB2312" w:eastAsia="仿宋_GB2312"/>
                <w:sz w:val="24"/>
                <w:color w:val="000000"/>
              </w:rPr>
              <w:t>实施方案</w:t>
            </w:r>
            <w:r>
              <w:rPr>
                <w:rFonts w:ascii="仿宋_GB2312" w:hAnsi="仿宋_GB2312" w:cs="仿宋_GB2312" w:eastAsia="仿宋_GB2312"/>
                <w:sz w:val="24"/>
                <w:color w:val="000000"/>
              </w:rPr>
              <w:t>、图纸及概算书各</w:t>
            </w:r>
            <w:r>
              <w:rPr>
                <w:rFonts w:ascii="仿宋_GB2312" w:hAnsi="仿宋_GB2312" w:cs="仿宋_GB2312" w:eastAsia="仿宋_GB2312"/>
                <w:sz w:val="24"/>
                <w:color w:val="000000"/>
              </w:rPr>
              <w:t xml:space="preserve">6套；                                 </w:t>
            </w:r>
          </w:p>
          <w:p>
            <w:pPr>
              <w:pStyle w:val="null3"/>
              <w:ind w:firstLine="240"/>
              <w:jc w:val="left"/>
            </w:pPr>
            <w:r>
              <w:rPr>
                <w:rFonts w:ascii="仿宋_GB2312" w:hAnsi="仿宋_GB2312" w:cs="仿宋_GB2312" w:eastAsia="仿宋_GB2312"/>
                <w:sz w:val="24"/>
                <w:color w:val="000000"/>
              </w:rPr>
              <w:t>2、工程招标图设计说明图册、施工图</w:t>
            </w:r>
            <w:r>
              <w:rPr>
                <w:rFonts w:ascii="仿宋_GB2312" w:hAnsi="仿宋_GB2312" w:cs="仿宋_GB2312" w:eastAsia="仿宋_GB2312"/>
                <w:sz w:val="24"/>
                <w:color w:val="000000"/>
              </w:rPr>
              <w:t>设计说明图册各</w:t>
            </w:r>
            <w:r>
              <w:rPr>
                <w:rFonts w:ascii="仿宋_GB2312" w:hAnsi="仿宋_GB2312" w:cs="仿宋_GB2312" w:eastAsia="仿宋_GB2312"/>
                <w:sz w:val="24"/>
                <w:color w:val="000000"/>
              </w:rPr>
              <w:t>6套；</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实施方案报告、实施方案图册、实施方案概算书</w:t>
            </w:r>
            <w:r>
              <w:rPr>
                <w:rFonts w:ascii="仿宋_GB2312" w:hAnsi="仿宋_GB2312" w:cs="仿宋_GB2312" w:eastAsia="仿宋_GB2312"/>
                <w:sz w:val="24"/>
                <w:color w:val="000000"/>
              </w:rPr>
              <w:t>各</w:t>
            </w:r>
            <w:r>
              <w:rPr>
                <w:rFonts w:ascii="仿宋_GB2312" w:hAnsi="仿宋_GB2312" w:cs="仿宋_GB2312" w:eastAsia="仿宋_GB2312"/>
                <w:sz w:val="24"/>
                <w:color w:val="000000"/>
              </w:rPr>
              <w:t>6套；</w:t>
            </w:r>
          </w:p>
          <w:p>
            <w:pPr>
              <w:pStyle w:val="null3"/>
              <w:ind w:firstLine="240"/>
              <w:jc w:val="left"/>
            </w:pPr>
            <w:r>
              <w:rPr>
                <w:rFonts w:ascii="仿宋_GB2312" w:hAnsi="仿宋_GB2312" w:cs="仿宋_GB2312" w:eastAsia="仿宋_GB2312"/>
                <w:sz w:val="24"/>
                <w:color w:val="000000"/>
              </w:rPr>
              <w:t>4、以上设计成果（含审图后的变更）的电子板文件刻录贰份提交甲方。电子版中文字内容可采用Microsoft word/PDF格式文件，设计图形文件采用AutoCAD格式文件，全部设计成果均应制作成计算机文件，刻入U盘。</w:t>
            </w:r>
          </w:p>
          <w:p>
            <w:pPr>
              <w:pStyle w:val="null3"/>
              <w:ind w:firstLine="240"/>
              <w:jc w:val="left"/>
            </w:pPr>
            <w:r>
              <w:rPr>
                <w:rFonts w:ascii="仿宋_GB2312" w:hAnsi="仿宋_GB2312" w:cs="仿宋_GB2312" w:eastAsia="仿宋_GB2312"/>
                <w:sz w:val="27"/>
              </w:rPr>
              <w:t>5、</w:t>
            </w:r>
            <w:r>
              <w:rPr>
                <w:rFonts w:ascii="仿宋_GB2312" w:hAnsi="仿宋_GB2312" w:cs="仿宋_GB2312" w:eastAsia="仿宋_GB2312"/>
                <w:sz w:val="24"/>
                <w:color w:val="000000"/>
              </w:rPr>
              <w:t>采购人要求的其他相关文件。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本项目中标单位与西安市临潼区小型农田水利项目建设管理处签订合同及其他相关文件。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；线下递交文件地点陕西省西安市未央区凤城八路与贞观路十字向北200米天和广场803室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供应商应具备水利行业乙级（含乙级）以上设计资质或水利行业（灌溉排涝）专业乙级（含乙级）以上设计资质；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拟任项目设计负责人应具备水利相关专业中级及以上职称；</w:t>
            </w:r>
          </w:p>
        </w:tc>
        <w:tc>
          <w:tcPr>
            <w:tcW w:type="dxa" w:w="1661"/>
          </w:tcPr>
          <w:p>
            <w:pPr>
              <w:pStyle w:val="null3"/>
            </w:pPr>
            <w:r>
              <w:rPr>
                <w:rFonts w:ascii="仿宋_GB2312" w:hAnsi="仿宋_GB2312" w:cs="仿宋_GB2312" w:eastAsia="仿宋_GB2312"/>
              </w:rPr>
              <w:t>供应商应提交的相关资格证明材料.docx 项目投入主要人员汇总表.docx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最高限价金额</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响应文件的签字、盖章符合招标文件要求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项目业绩一览表.docx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对建设项目的背景、建设条件、总体布局及设计的重点有充分的了解和认识，由评委会在0-5分之间合理赋分。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总体设计思路和设计理念</w:t>
            </w:r>
          </w:p>
        </w:tc>
        <w:tc>
          <w:tcPr>
            <w:tcW w:type="dxa" w:w="2492"/>
          </w:tcPr>
          <w:p>
            <w:pPr>
              <w:pStyle w:val="null3"/>
            </w:pPr>
            <w:r>
              <w:rPr>
                <w:rFonts w:ascii="仿宋_GB2312" w:hAnsi="仿宋_GB2312" w:cs="仿宋_GB2312" w:eastAsia="仿宋_GB2312"/>
              </w:rPr>
              <w:t>总体设计思路和设计理念可行，科学合理性强，分析合理、思路清晰、方案可行，由评委会在0-10分之间合理赋分。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本项目的具体实施方案，包含工作方法、设计所投入的工器具、进度安排、成果交付等，实施方案完整、详细、具体可行，由评委会在0-10分之间合理赋分。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方案设计、实施编制进度时间合理，进度安排清晰明确，合理科学，且有明确的进度保障措施，由评委会在0-10分之间合理赋分。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成果保障措施</w:t>
            </w:r>
          </w:p>
        </w:tc>
        <w:tc>
          <w:tcPr>
            <w:tcW w:type="dxa" w:w="2492"/>
          </w:tcPr>
          <w:p>
            <w:pPr>
              <w:pStyle w:val="null3"/>
            </w:pPr>
            <w:r>
              <w:rPr>
                <w:rFonts w:ascii="仿宋_GB2312" w:hAnsi="仿宋_GB2312" w:cs="仿宋_GB2312" w:eastAsia="仿宋_GB2312"/>
              </w:rPr>
              <w:t>保证设计成果具有良好的经济性、安全性、可靠性的措施等。由评委会在0-10分之间合理赋分。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项目管理及质量保证措施</w:t>
            </w:r>
          </w:p>
        </w:tc>
        <w:tc>
          <w:tcPr>
            <w:tcW w:type="dxa" w:w="2492"/>
          </w:tcPr>
          <w:p>
            <w:pPr>
              <w:pStyle w:val="null3"/>
            </w:pPr>
            <w:r>
              <w:rPr>
                <w:rFonts w:ascii="仿宋_GB2312" w:hAnsi="仿宋_GB2312" w:cs="仿宋_GB2312" w:eastAsia="仿宋_GB2312"/>
              </w:rPr>
              <w:t>质量保证措施，具有可靠性，工作质量控制措施有效，有预见性及解决办法，且保障措施详细明确合理且可行性强，由评委会在0-5分之间合理赋分。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1、拟投入的项目团队人员数量、分工情况，对设计工作的有效支撑、岗位职责明确清晰得由评委会在5-8分之间合理赋分；人员数量及专业配备基本满足项目要求的由评委会在1-4分之间合理赋分。 2、拟派项目负责人具有相关专业高级职称的得2分，没有提供不得分。 3、项目组成员具有相关专业中级及以上职称的，每提供1名得2分，满分10分；以供应商响应文件中所附的人员证书复印件为准，不提供则不得分。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2021 年 01 月 01 日至今（以合同签订时间为准）类似项目（指农田水利项目设计）业绩，每份计2分；满分10分，（提供合同或中标通知书复印件或扫描件，并加盖单位公章）。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1.服务承诺（5 分）：供应商针对本项目有明确的服务承诺，按其响应程度由评委会在0-5分之间合理赋分。 2.合理化建议（5 分）：供应商针对本项目提出合理化建议，从可行性、合理性等方面综合评比，按其响应程度由评委会在0-5分之间合理赋分。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注：1、计算分数时四舍五入取小数点后两位； 2、本项目专门面向中小企业，不再执行价格评审优惠扶持政策。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