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版本号：HYDZB202503020250910001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2025年第一批省级农业专项资金农作物病虫害防控项目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HYDZB2025030</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2025年第一批省级农业专项资金农作物病虫害防控项目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2025年第一批省级农业专项资金农作物病虫害防控项目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西安市临潼区2025年农作物病虫害防控项目，主要采购内容包括粮食作物重大病虫草害防控作业及农药减量控害和绿色防控。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采购包1（2025年第一批省级农业专项资金农作物病虫害防控项目）：属于专门面向中小企业采购。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3、资质要求：供应商须具有《通用航空企业经营许可证》或《民用无人驾驶航空器运营合格证》，相关作业人员具有《植保无人机系统操作手合格证》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4、药品证书：供应商提供的农药产品必须提供“三证”（分别是《农药登记证》、《农药生产许可证或农药生产批准文件》、《农药标准证》）</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临潼区农技推广服务中心经办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13809193699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以合同相关约定执行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联系人：鬲工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西安市临潼区2025年农作物病虫害防控项目，主要采购内容为粮食作物重大病虫草害防控作业及农药减量控害和绿色防控。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2025年第一批省级农业专项资金农作物病虫害防控项目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标的名称：2025年第一批省级农业专项资金农作物病虫害防控项目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80"/>
              <w:jc w:val="left"/>
            </w:pPr>
            <w:r>
              <w:rPr>
                <w:rFonts w:ascii="仿宋_GB2312" w:hAnsi="仿宋_GB2312" w:cs="仿宋_GB2312" w:eastAsia="仿宋_GB2312"/>
                <w:sz w:val="21"/>
                <w:color w:val="000000"/>
              </w:rPr>
              <w:t>西安市临潼区</w:t>
            </w:r>
            <w:r>
              <w:rPr>
                <w:rFonts w:ascii="仿宋_GB2312" w:hAnsi="仿宋_GB2312" w:cs="仿宋_GB2312" w:eastAsia="仿宋_GB2312"/>
                <w:sz w:val="21"/>
                <w:color w:val="000000"/>
              </w:rPr>
              <w:t>2025年农作物病虫害防控项目，本次采购内容为粮食作物重大病虫草害防控作业及农药减量控害和绿色防控示范。</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采购内容及技术要求</w:t>
            </w:r>
          </w:p>
          <w:p>
            <w:pPr>
              <w:pStyle w:val="null3"/>
              <w:jc w:val="left"/>
            </w:pPr>
            <w:r>
              <w:rPr>
                <w:rFonts w:ascii="仿宋_GB2312" w:hAnsi="仿宋_GB2312" w:cs="仿宋_GB2312" w:eastAsia="仿宋_GB2312"/>
                <w:sz w:val="21"/>
                <w:b/>
                <w:color w:val="000000"/>
              </w:rPr>
              <w:t>（一）粮食作物重大病虫草害防控作业</w:t>
            </w:r>
          </w:p>
          <w:p>
            <w:pPr>
              <w:pStyle w:val="null3"/>
              <w:ind w:firstLine="480"/>
              <w:jc w:val="left"/>
            </w:pPr>
            <w:r>
              <w:rPr>
                <w:rFonts w:ascii="仿宋_GB2312" w:hAnsi="仿宋_GB2312" w:cs="仿宋_GB2312" w:eastAsia="仿宋_GB2312"/>
                <w:sz w:val="21"/>
                <w:color w:val="000000"/>
              </w:rPr>
              <w:t>1.采购内容：防控作业2.8万亩（包含飞防专用助剂及其他相关费用）。</w:t>
            </w:r>
          </w:p>
          <w:p>
            <w:pPr>
              <w:pStyle w:val="null3"/>
              <w:ind w:firstLine="48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作业区域：</w:t>
            </w:r>
            <w:r>
              <w:rPr>
                <w:rFonts w:ascii="仿宋_GB2312" w:hAnsi="仿宋_GB2312" w:cs="仿宋_GB2312" w:eastAsia="仿宋_GB2312"/>
                <w:sz w:val="21"/>
                <w:color w:val="000000"/>
              </w:rPr>
              <w:t>临潼区境内，</w:t>
            </w:r>
            <w:r>
              <w:rPr>
                <w:rFonts w:ascii="仿宋_GB2312" w:hAnsi="仿宋_GB2312" w:cs="仿宋_GB2312" w:eastAsia="仿宋_GB2312"/>
                <w:sz w:val="21"/>
                <w:color w:val="000000"/>
              </w:rPr>
              <w:t>合计</w:t>
            </w:r>
            <w:r>
              <w:rPr>
                <w:rFonts w:ascii="仿宋_GB2312" w:hAnsi="仿宋_GB2312" w:cs="仿宋_GB2312" w:eastAsia="仿宋_GB2312"/>
                <w:sz w:val="21"/>
                <w:color w:val="000000"/>
              </w:rPr>
              <w:t>2.8万</w:t>
            </w:r>
            <w:r>
              <w:rPr>
                <w:rFonts w:ascii="仿宋_GB2312" w:hAnsi="仿宋_GB2312" w:cs="仿宋_GB2312" w:eastAsia="仿宋_GB2312"/>
                <w:sz w:val="21"/>
                <w:color w:val="000000"/>
              </w:rPr>
              <w:t>亩。</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作业方式：采用植保无人机喷防。</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防治效果：综合防治效果达到</w:t>
            </w:r>
            <w:r>
              <w:rPr>
                <w:rFonts w:ascii="仿宋_GB2312" w:hAnsi="仿宋_GB2312" w:cs="仿宋_GB2312" w:eastAsia="仿宋_GB2312"/>
                <w:sz w:val="21"/>
                <w:color w:val="000000"/>
              </w:rPr>
              <w:t>85%以上</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相关作业人员具有《植保无人机系统操作手合格证》用药规范，保证作业人员按配方科学配药、机手按作业要求实施作业</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项目组织团队至少配备</w:t>
            </w:r>
            <w:r>
              <w:rPr>
                <w:rFonts w:ascii="仿宋_GB2312" w:hAnsi="仿宋_GB2312" w:cs="仿宋_GB2312" w:eastAsia="仿宋_GB2312"/>
                <w:sz w:val="21"/>
                <w:color w:val="000000"/>
              </w:rPr>
              <w:t>15名具有《植保无人机系统操作手合格证》的操作员</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配备不少于</w:t>
            </w:r>
            <w:r>
              <w:rPr>
                <w:rFonts w:ascii="仿宋_GB2312" w:hAnsi="仿宋_GB2312" w:cs="仿宋_GB2312" w:eastAsia="仿宋_GB2312"/>
                <w:sz w:val="21"/>
                <w:color w:val="000000"/>
              </w:rPr>
              <w:t>15驾植保无人机，保证作业时间内可同时使用得植保无人机不少于15驾。</w:t>
            </w:r>
          </w:p>
          <w:p>
            <w:pPr>
              <w:pStyle w:val="null3"/>
              <w:ind w:firstLine="48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每亩喷施肥水</w:t>
            </w:r>
            <w:r>
              <w:rPr>
                <w:rFonts w:ascii="仿宋_GB2312" w:hAnsi="仿宋_GB2312" w:cs="仿宋_GB2312" w:eastAsia="仿宋_GB2312"/>
                <w:sz w:val="21"/>
                <w:color w:val="000000"/>
              </w:rPr>
              <w:t>3L,无人机飞行高度应控制在2-4米之间，飞行速度为3-5米/秒。</w:t>
            </w:r>
          </w:p>
          <w:p>
            <w:pPr>
              <w:pStyle w:val="null3"/>
              <w:ind w:firstLine="480"/>
              <w:jc w:val="left"/>
            </w:pPr>
            <w:r>
              <w:rPr>
                <w:rFonts w:ascii="仿宋_GB2312" w:hAnsi="仿宋_GB2312" w:cs="仿宋_GB2312" w:eastAsia="仿宋_GB2312"/>
                <w:sz w:val="21"/>
                <w:color w:val="000000"/>
              </w:rPr>
              <w:t>8、飞防专用助剂必须符合国家植保无人机飞防作业相关规定。</w:t>
            </w:r>
          </w:p>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农药减量控害和绿色防控</w:t>
            </w:r>
          </w:p>
          <w:p>
            <w:pPr>
              <w:pStyle w:val="null3"/>
              <w:ind w:firstLine="480"/>
              <w:jc w:val="left"/>
            </w:pPr>
            <w:r>
              <w:rPr>
                <w:rFonts w:ascii="仿宋_GB2312" w:hAnsi="仿宋_GB2312" w:cs="仿宋_GB2312" w:eastAsia="仿宋_GB2312"/>
                <w:sz w:val="21"/>
                <w:color w:val="000000"/>
              </w:rPr>
              <w:t>1、采购内容：防控作业2500亩（包含药剂采购）</w:t>
            </w:r>
          </w:p>
          <w:p>
            <w:pPr>
              <w:pStyle w:val="null3"/>
              <w:ind w:firstLine="480"/>
              <w:jc w:val="left"/>
            </w:pPr>
            <w:r>
              <w:rPr>
                <w:rFonts w:ascii="仿宋_GB2312" w:hAnsi="仿宋_GB2312" w:cs="仿宋_GB2312" w:eastAsia="仿宋_GB2312"/>
                <w:sz w:val="21"/>
                <w:color w:val="000000"/>
              </w:rPr>
              <w:t>2、药剂要求：30%吡氟酰草胺·氟噻草胺悬浮剂每亩80ml+飞防专用助剂每亩10ml。</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作业区域：雨金</w:t>
            </w:r>
            <w:r>
              <w:rPr>
                <w:rFonts w:ascii="仿宋_GB2312" w:hAnsi="仿宋_GB2312" w:cs="仿宋_GB2312" w:eastAsia="仿宋_GB2312"/>
                <w:sz w:val="21"/>
                <w:color w:val="000000"/>
              </w:rPr>
              <w:t>街办</w:t>
            </w:r>
            <w:r>
              <w:rPr>
                <w:rFonts w:ascii="仿宋_GB2312" w:hAnsi="仿宋_GB2312" w:cs="仿宋_GB2312" w:eastAsia="仿宋_GB2312"/>
                <w:sz w:val="21"/>
                <w:color w:val="000000"/>
              </w:rPr>
              <w:t>，油槐</w:t>
            </w:r>
            <w:r>
              <w:rPr>
                <w:rFonts w:ascii="仿宋_GB2312" w:hAnsi="仿宋_GB2312" w:cs="仿宋_GB2312" w:eastAsia="仿宋_GB2312"/>
                <w:sz w:val="21"/>
                <w:color w:val="000000"/>
              </w:rPr>
              <w:t>街办</w:t>
            </w:r>
            <w:r>
              <w:rPr>
                <w:rFonts w:ascii="仿宋_GB2312" w:hAnsi="仿宋_GB2312" w:cs="仿宋_GB2312" w:eastAsia="仿宋_GB2312"/>
                <w:sz w:val="21"/>
                <w:color w:val="000000"/>
              </w:rPr>
              <w:t>，相桥</w:t>
            </w:r>
            <w:r>
              <w:rPr>
                <w:rFonts w:ascii="仿宋_GB2312" w:hAnsi="仿宋_GB2312" w:cs="仿宋_GB2312" w:eastAsia="仿宋_GB2312"/>
                <w:sz w:val="21"/>
                <w:color w:val="000000"/>
              </w:rPr>
              <w:t>街办</w:t>
            </w:r>
            <w:r>
              <w:rPr>
                <w:rFonts w:ascii="仿宋_GB2312" w:hAnsi="仿宋_GB2312" w:cs="仿宋_GB2312" w:eastAsia="仿宋_GB2312"/>
                <w:sz w:val="21"/>
                <w:color w:val="000000"/>
              </w:rPr>
              <w:t>，徐杨</w:t>
            </w:r>
            <w:r>
              <w:rPr>
                <w:rFonts w:ascii="仿宋_GB2312" w:hAnsi="仿宋_GB2312" w:cs="仿宋_GB2312" w:eastAsia="仿宋_GB2312"/>
                <w:sz w:val="21"/>
                <w:color w:val="000000"/>
              </w:rPr>
              <w:t>街办</w:t>
            </w:r>
            <w:r>
              <w:rPr>
                <w:rFonts w:ascii="仿宋_GB2312" w:hAnsi="仿宋_GB2312" w:cs="仿宋_GB2312" w:eastAsia="仿宋_GB2312"/>
                <w:sz w:val="21"/>
                <w:color w:val="000000"/>
              </w:rPr>
              <w:t>，新丰</w:t>
            </w:r>
            <w:r>
              <w:rPr>
                <w:rFonts w:ascii="仿宋_GB2312" w:hAnsi="仿宋_GB2312" w:cs="仿宋_GB2312" w:eastAsia="仿宋_GB2312"/>
                <w:sz w:val="21"/>
                <w:color w:val="000000"/>
              </w:rPr>
              <w:t>街办</w:t>
            </w:r>
            <w:r>
              <w:rPr>
                <w:rFonts w:ascii="仿宋_GB2312" w:hAnsi="仿宋_GB2312" w:cs="仿宋_GB2312" w:eastAsia="仿宋_GB2312"/>
                <w:sz w:val="21"/>
                <w:color w:val="000000"/>
              </w:rPr>
              <w:t>，何寨</w:t>
            </w:r>
            <w:r>
              <w:rPr>
                <w:rFonts w:ascii="仿宋_GB2312" w:hAnsi="仿宋_GB2312" w:cs="仿宋_GB2312" w:eastAsia="仿宋_GB2312"/>
                <w:sz w:val="21"/>
                <w:color w:val="000000"/>
              </w:rPr>
              <w:t>街办，合计</w:t>
            </w:r>
            <w:r>
              <w:rPr>
                <w:rFonts w:ascii="仿宋_GB2312" w:hAnsi="仿宋_GB2312" w:cs="仿宋_GB2312" w:eastAsia="仿宋_GB2312"/>
                <w:sz w:val="21"/>
                <w:color w:val="000000"/>
              </w:rPr>
              <w:t>2500亩</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防治效果：综合防治效果达到</w:t>
            </w:r>
            <w:r>
              <w:rPr>
                <w:rFonts w:ascii="仿宋_GB2312" w:hAnsi="仿宋_GB2312" w:cs="仿宋_GB2312" w:eastAsia="仿宋_GB2312"/>
                <w:sz w:val="21"/>
                <w:color w:val="000000"/>
              </w:rPr>
              <w:t>85%以上</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5、封闭作业使用的农药必须三证齐全，必须在有效期内；（三证： 《</w:t>
            </w:r>
            <w:r>
              <w:rPr>
                <w:rFonts w:ascii="仿宋_GB2312" w:hAnsi="仿宋_GB2312" w:cs="仿宋_GB2312" w:eastAsia="仿宋_GB2312"/>
                <w:sz w:val="21"/>
                <w:color w:val="000000"/>
              </w:rPr>
              <w:t>农药登记证</w:t>
            </w:r>
            <w:r>
              <w:rPr>
                <w:rFonts w:ascii="仿宋_GB2312" w:hAnsi="仿宋_GB2312" w:cs="仿宋_GB2312" w:eastAsia="仿宋_GB2312"/>
                <w:sz w:val="21"/>
                <w:color w:val="000000"/>
              </w:rPr>
              <w:t>》、《</w:t>
            </w:r>
            <w:r>
              <w:rPr>
                <w:rFonts w:ascii="仿宋_GB2312" w:hAnsi="仿宋_GB2312" w:cs="仿宋_GB2312" w:eastAsia="仿宋_GB2312"/>
                <w:sz w:val="21"/>
                <w:color w:val="000000"/>
              </w:rPr>
              <w:t>农药生产许可证或农药生产批准文件</w:t>
            </w:r>
            <w:r>
              <w:rPr>
                <w:rFonts w:ascii="仿宋_GB2312" w:hAnsi="仿宋_GB2312" w:cs="仿宋_GB2312" w:eastAsia="仿宋_GB2312"/>
                <w:sz w:val="21"/>
                <w:color w:val="000000"/>
              </w:rPr>
              <w:t>》、《</w:t>
            </w:r>
            <w:r>
              <w:rPr>
                <w:rFonts w:ascii="仿宋_GB2312" w:hAnsi="仿宋_GB2312" w:cs="仿宋_GB2312" w:eastAsia="仿宋_GB2312"/>
                <w:sz w:val="21"/>
                <w:color w:val="000000"/>
              </w:rPr>
              <w:t>农药标准证</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符合国家标准及国家行政部门颁布的法律法规、规章制度等。采购人依据以上要求及采购文件、供应商的投标文件进行验收。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合同签订后，由供应商出具相关票据给采购人，采购人在完成报账程序后支付服务费用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服务结束后，经采购人邀请相关部门验收合格后，由供应商出其相关票据给采购人，采购人在完成报账程序后支付服务费用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西安市临潼区新华书店二楼（陕西恒益鼎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提供规定格式的《基本资格条件承诺函》(详见资格证明文件中相关格式)，供应商须对承诺内容的真实性负责。采购人可以在中标(成交)结果公告后、签订政府采购合同前，核实中标(成交)供应商所作信用承诺事项的真实性。 2.如不提供《基本资格条件承诺函》的供应商需提交以下资格证明文件: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药品证书</w:t>
            </w:r>
          </w:p>
        </w:tc>
        <w:tc>
          <w:tcPr>
            <w:tcW w:type="dxa" w:w="3322"/>
          </w:tcPr>
          <w:p>
            <w:pPr>
              <w:pStyle w:val="null3"/>
            </w:pPr>
            <w:r>
              <w:rPr>
                <w:rFonts w:ascii="仿宋_GB2312" w:hAnsi="仿宋_GB2312" w:cs="仿宋_GB2312" w:eastAsia="仿宋_GB2312"/>
              </w:rPr>
              <w:t>供应商提供的农药产品必须提供“三证”（分别是《农药登记证》、《农药生产许可证或农药生产批准文件》、《农药标准证》）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商务应答表 服务方案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供应商应提交的相关资格证明材料.docx 商务应答表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供应商针对本项目的总体服务方案，包括但不限于①项目需求理解；②服务计划；③作业进度；④作业质量；⑤重点部位作业方法；⑥增效作业专业技术力量。 二、赋分标准(满分18分) 整体服务方案内容完善、全面合理、架构完整、层次清楚、具有针对性和可实施性，得18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一、评审内容：供应商针对本项目提供详细的人员配备方案包括但不限于①人员数量、分工、从业经验等；②岗位配备及职责；③人员培训（岗前培训、安全培训、定期培训）。 二、赋分标准：（满分9分） 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具备植保无人机系统操作手合格证的飞手不少于15人，(以植保无人机系统操作手合格证为准)每增加一人得1分，最高得3分。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具备开展航化作业植保无人机（载药量 30 公斤以上）不少于15驾，（需提供购机合同或购机发票或付款凭证等），每增加一驾得1分，最高得3分。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供应商针对本项目制定的质量保障方案，包括但不限于①服务质量保障体系；②防治效果质量保障；③技术组织保障措施； 二 赋分标准(12分): 整体方案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供应商针对本项目制定的应急方案，包括但不限于①在作业过程中出现突发问题的应急处置方案;②应急响应时间:③出现突发状况应急人员安排。 二、 赋分标准(12分): 整体方案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供应商针对本项目制定的安全保障方案，包括但不限于①在作业过程中人员安全保障措施;②作业环境安全防范;③药剂、肥料的使用安全保障。 二、赋分标准(12分): 整体方案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供应商针对本项目的服务承诺包括但不限于：①防治效果的检验②出现特殊情况的后期补防③项目交付后出现缺陷的响应时间及措施。 二、赋分标准(12分): 承诺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提供2020年1月1日至响应文件递交截止日前已完成的类似业绩（提供合同复印件加盖公章，时间以合同签订日期为准）。每份计3分，计满9分为止。不能提供的不得分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价格分统一采用低价优先法计算，即满足磋商文件要求且投标价格最低的报价为评标基准价，其价格分为满分。其他供应商的价格分统一按照下列公式计算： 投标报价得分=(评标基准价／投标报价)×报价分值 注：1、计算分数时四舍五入取小数点后两位； 2、本项目专门面向中小企业，不再执行价格折扣。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