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5AD4A5">
      <w:pPr>
        <w:keepLines w:val="0"/>
        <w:pageBreakBefore w:val="0"/>
        <w:widowControl/>
        <w:tabs>
          <w:tab w:val="left" w:pos="735"/>
        </w:tabs>
        <w:kinsoku/>
        <w:wordWrap/>
        <w:overflowPunct/>
        <w:topLinePunct w:val="0"/>
        <w:autoSpaceDE w:val="0"/>
        <w:autoSpaceDN w:val="0"/>
        <w:bidi w:val="0"/>
        <w:adjustRightInd w:val="0"/>
        <w:snapToGrid/>
        <w:spacing w:line="360" w:lineRule="auto"/>
        <w:ind w:right="0" w:rightChars="0"/>
        <w:jc w:val="center"/>
        <w:rPr>
          <w:rFonts w:hint="eastAsia" w:ascii="宋体" w:hAnsi="宋体" w:eastAsia="宋体" w:cs="宋体"/>
          <w:b/>
          <w:bCs/>
          <w:sz w:val="44"/>
          <w:szCs w:val="44"/>
          <w:lang w:val="en-US" w:eastAsia="zh-CN"/>
        </w:rPr>
      </w:pPr>
      <w:r>
        <w:rPr>
          <w:rFonts w:hint="eastAsia" w:ascii="宋体" w:hAnsi="宋体" w:eastAsia="宋体" w:cs="宋体"/>
          <w:b/>
          <w:bCs/>
          <w:sz w:val="44"/>
          <w:szCs w:val="44"/>
          <w:lang w:val="en-US" w:eastAsia="zh-CN"/>
        </w:rPr>
        <w:t>合同模板</w:t>
      </w:r>
    </w:p>
    <w:p w14:paraId="19DD73E3">
      <w:pPr>
        <w:keepLines w:val="0"/>
        <w:pageBreakBefore w:val="0"/>
        <w:widowControl/>
        <w:tabs>
          <w:tab w:val="left" w:pos="735"/>
        </w:tabs>
        <w:kinsoku/>
        <w:wordWrap/>
        <w:overflowPunct/>
        <w:topLinePunct w:val="0"/>
        <w:autoSpaceDE w:val="0"/>
        <w:autoSpaceDN w:val="0"/>
        <w:bidi w:val="0"/>
        <w:adjustRightInd w:val="0"/>
        <w:snapToGrid/>
        <w:spacing w:line="360" w:lineRule="auto"/>
        <w:ind w:left="0" w:leftChars="0" w:right="0" w:rightChars="0" w:firstLine="482" w:firstLineChars="200"/>
        <w:rPr>
          <w:rFonts w:ascii="宋体" w:hAnsi="宋体" w:eastAsia="宋体" w:cs="宋体"/>
          <w:b/>
          <w:bCs/>
          <w:lang w:val="zh-CN"/>
        </w:rPr>
      </w:pPr>
      <w:r>
        <w:rPr>
          <w:rFonts w:hint="eastAsia" w:ascii="宋体" w:hAnsi="宋体" w:eastAsia="宋体" w:cs="宋体"/>
          <w:b/>
          <w:bCs/>
          <w:lang w:val="zh-CN"/>
        </w:rPr>
        <w:t>甲方：</w:t>
      </w:r>
      <w:r>
        <w:rPr>
          <w:rFonts w:hint="eastAsia" w:ascii="宋体" w:hAnsi="宋体" w:eastAsia="宋体" w:cs="宋体"/>
          <w:bCs/>
          <w:lang w:val="zh-CN"/>
        </w:rPr>
        <w:t xml:space="preserve">（前款所称采购人）    </w:t>
      </w:r>
      <w:r>
        <w:rPr>
          <w:rFonts w:hint="eastAsia" w:ascii="宋体" w:hAnsi="宋体" w:eastAsia="宋体" w:cs="宋体"/>
          <w:bCs/>
          <w:lang w:val="en-US" w:eastAsia="zh-CN"/>
        </w:rPr>
        <w:t xml:space="preserve">          </w:t>
      </w:r>
      <w:r>
        <w:rPr>
          <w:rFonts w:hint="eastAsia" w:ascii="宋体" w:hAnsi="宋体" w:eastAsia="宋体" w:cs="宋体"/>
          <w:bCs/>
          <w:lang w:val="zh-CN"/>
        </w:rPr>
        <w:t xml:space="preserve"> 住所：</w:t>
      </w:r>
      <w:r>
        <w:rPr>
          <w:rFonts w:hint="eastAsia" w:ascii="宋体" w:hAnsi="宋体" w:eastAsia="宋体" w:cs="宋体"/>
          <w:u w:val="single"/>
          <w:lang w:val="en-US" w:eastAsia="zh-CN"/>
        </w:rPr>
        <w:t xml:space="preserve">      </w:t>
      </w:r>
    </w:p>
    <w:p w14:paraId="720CE742">
      <w:pPr>
        <w:keepLines w:val="0"/>
        <w:pageBreakBefore w:val="0"/>
        <w:widowControl/>
        <w:tabs>
          <w:tab w:val="left" w:pos="735"/>
        </w:tabs>
        <w:kinsoku/>
        <w:wordWrap/>
        <w:overflowPunct/>
        <w:topLinePunct w:val="0"/>
        <w:autoSpaceDE w:val="0"/>
        <w:autoSpaceDN w:val="0"/>
        <w:bidi w:val="0"/>
        <w:adjustRightInd w:val="0"/>
        <w:snapToGrid/>
        <w:spacing w:line="360" w:lineRule="auto"/>
        <w:ind w:left="0" w:leftChars="0" w:right="0" w:rightChars="0" w:firstLine="482" w:firstLineChars="200"/>
        <w:rPr>
          <w:rFonts w:ascii="宋体" w:hAnsi="宋体" w:eastAsia="宋体" w:cs="宋体"/>
          <w:bCs/>
          <w:lang w:val="zh-CN"/>
        </w:rPr>
      </w:pPr>
      <w:r>
        <w:rPr>
          <w:rFonts w:hint="eastAsia" w:ascii="宋体" w:hAnsi="宋体" w:eastAsia="宋体" w:cs="宋体"/>
          <w:b/>
          <w:bCs/>
          <w:lang w:val="zh-CN"/>
        </w:rPr>
        <w:t>乙方：</w:t>
      </w:r>
      <w:r>
        <w:rPr>
          <w:rFonts w:hint="eastAsia" w:ascii="宋体" w:hAnsi="宋体" w:eastAsia="宋体" w:cs="宋体"/>
          <w:bCs/>
          <w:lang w:val="zh-CN"/>
        </w:rPr>
        <w:t xml:space="preserve">（前款所称中标人）     </w:t>
      </w:r>
      <w:r>
        <w:rPr>
          <w:rFonts w:hint="eastAsia" w:ascii="宋体" w:hAnsi="宋体" w:eastAsia="宋体" w:cs="宋体"/>
          <w:bCs/>
          <w:lang w:val="en-US" w:eastAsia="zh-CN"/>
        </w:rPr>
        <w:t xml:space="preserve">          </w:t>
      </w:r>
      <w:r>
        <w:rPr>
          <w:rFonts w:hint="eastAsia" w:ascii="宋体" w:hAnsi="宋体" w:eastAsia="宋体" w:cs="宋体"/>
          <w:bCs/>
          <w:lang w:val="zh-CN"/>
        </w:rPr>
        <w:t>住所：</w:t>
      </w:r>
      <w:r>
        <w:rPr>
          <w:rFonts w:hint="eastAsia" w:ascii="宋体" w:hAnsi="宋体" w:eastAsia="宋体" w:cs="宋体"/>
          <w:u w:val="single"/>
          <w:lang w:val="en-US" w:eastAsia="zh-CN"/>
        </w:rPr>
        <w:t xml:space="preserve">      </w:t>
      </w:r>
      <w:bookmarkStart w:id="12" w:name="_GoBack"/>
      <w:bookmarkEnd w:id="12"/>
    </w:p>
    <w:p w14:paraId="33B5A5E1">
      <w:pPr>
        <w:pStyle w:val="2"/>
        <w:keepLines w:val="0"/>
        <w:pageBreakBefore w:val="0"/>
        <w:widowControl/>
        <w:kinsoku/>
        <w:wordWrap/>
        <w:overflowPunct/>
        <w:topLinePunct w:val="0"/>
        <w:bidi w:val="0"/>
        <w:snapToGrid/>
        <w:spacing w:before="0" w:after="0" w:line="360" w:lineRule="auto"/>
        <w:ind w:left="0" w:leftChars="0" w:right="0" w:rightChars="0" w:firstLine="482" w:firstLineChars="200"/>
        <w:rPr>
          <w:rFonts w:ascii="宋体" w:hAnsi="宋体" w:eastAsia="宋体" w:cs="宋体"/>
          <w:b/>
          <w:sz w:val="24"/>
          <w:szCs w:val="24"/>
          <w:lang w:val="zh-CN"/>
        </w:rPr>
      </w:pPr>
      <w:bookmarkStart w:id="0" w:name="_Toc7335851"/>
      <w:r>
        <w:rPr>
          <w:rFonts w:hint="eastAsia" w:ascii="宋体" w:hAnsi="宋体" w:eastAsia="宋体" w:cs="宋体"/>
          <w:b/>
          <w:sz w:val="24"/>
          <w:szCs w:val="24"/>
          <w:lang w:val="zh-CN"/>
        </w:rPr>
        <w:t>一、合同内容（标的、数量、质量等）:</w:t>
      </w:r>
      <w:bookmarkEnd w:id="0"/>
    </w:p>
    <w:p w14:paraId="202F84C2">
      <w:pPr>
        <w:pStyle w:val="2"/>
        <w:keepLines w:val="0"/>
        <w:pageBreakBefore w:val="0"/>
        <w:widowControl/>
        <w:kinsoku/>
        <w:wordWrap/>
        <w:overflowPunct/>
        <w:topLinePunct w:val="0"/>
        <w:bidi w:val="0"/>
        <w:snapToGrid/>
        <w:spacing w:before="0" w:after="0" w:line="360" w:lineRule="auto"/>
        <w:ind w:left="0" w:leftChars="0" w:right="0" w:rightChars="0" w:firstLine="482" w:firstLineChars="200"/>
        <w:rPr>
          <w:rFonts w:ascii="宋体" w:hAnsi="宋体" w:eastAsia="宋体" w:cs="宋体"/>
          <w:b/>
          <w:sz w:val="24"/>
          <w:szCs w:val="24"/>
          <w:lang w:val="zh-CN"/>
        </w:rPr>
      </w:pPr>
      <w:bookmarkStart w:id="1" w:name="_Toc7335852"/>
      <w:r>
        <w:rPr>
          <w:rFonts w:hint="eastAsia" w:ascii="宋体" w:hAnsi="宋体" w:eastAsia="宋体" w:cs="宋体"/>
          <w:b/>
          <w:sz w:val="24"/>
          <w:szCs w:val="24"/>
          <w:lang w:val="zh-CN"/>
        </w:rPr>
        <w:t>二、合同价款</w:t>
      </w:r>
      <w:bookmarkEnd w:id="1"/>
    </w:p>
    <w:p w14:paraId="7BBB5523">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1、合同总价：</w:t>
      </w:r>
    </w:p>
    <w:p w14:paraId="3C3D2BA9">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2、合同总价包括：设备费、运杂费（含装卸费、保险费）、挂牌费、交强险、商业保险、安装调试费及其它相关的费用。</w:t>
      </w:r>
    </w:p>
    <w:p w14:paraId="6FA867D6">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3、合同总价一次包死，不受市场价变化的影响。</w:t>
      </w:r>
    </w:p>
    <w:p w14:paraId="610A13CD">
      <w:pPr>
        <w:pStyle w:val="2"/>
        <w:keepLines w:val="0"/>
        <w:pageBreakBefore w:val="0"/>
        <w:widowControl/>
        <w:kinsoku/>
        <w:wordWrap/>
        <w:overflowPunct/>
        <w:topLinePunct w:val="0"/>
        <w:bidi w:val="0"/>
        <w:snapToGrid/>
        <w:spacing w:before="0" w:after="0" w:line="360" w:lineRule="auto"/>
        <w:ind w:left="0" w:leftChars="0" w:right="0" w:rightChars="0" w:firstLine="482" w:firstLineChars="200"/>
        <w:rPr>
          <w:rFonts w:ascii="宋体" w:hAnsi="宋体" w:eastAsia="宋体" w:cs="宋体"/>
          <w:b/>
          <w:sz w:val="24"/>
          <w:szCs w:val="24"/>
          <w:lang w:val="zh-CN"/>
        </w:rPr>
      </w:pPr>
      <w:bookmarkStart w:id="2" w:name="_Toc7335853"/>
      <w:r>
        <w:rPr>
          <w:rFonts w:hint="eastAsia" w:ascii="宋体" w:hAnsi="宋体" w:eastAsia="宋体" w:cs="宋体"/>
          <w:b/>
          <w:sz w:val="24"/>
          <w:szCs w:val="24"/>
          <w:lang w:val="zh-CN"/>
        </w:rPr>
        <w:t>三、合同结算</w:t>
      </w:r>
      <w:bookmarkEnd w:id="2"/>
    </w:p>
    <w:p w14:paraId="2461C5CC">
      <w:pPr>
        <w:pStyle w:val="9"/>
        <w:pageBreakBefore w:val="0"/>
        <w:widowControl w:val="0"/>
        <w:wordWrap/>
        <w:overflowPunct/>
        <w:bidi w:val="0"/>
        <w:snapToGrid/>
        <w:spacing w:line="360" w:lineRule="auto"/>
        <w:ind w:left="0" w:leftChars="0" w:right="0" w:rightChars="0" w:firstLine="480" w:firstLineChars="200"/>
        <w:textAlignment w:val="auto"/>
        <w:rPr>
          <w:rFonts w:hint="eastAsia" w:ascii="宋体" w:hAnsi="宋体" w:cs="宋体"/>
          <w:b w:val="0"/>
          <w:bCs w:val="0"/>
          <w:color w:val="auto"/>
          <w:lang w:val="en-US" w:eastAsia="zh-CN"/>
        </w:rPr>
      </w:pPr>
      <w:r>
        <w:rPr>
          <w:rFonts w:hint="eastAsia" w:ascii="宋体" w:hAnsi="宋体" w:eastAsia="宋体" w:cs="宋体"/>
        </w:rPr>
        <w:t>1、付款比例：</w:t>
      </w:r>
      <w:r>
        <w:rPr>
          <w:rFonts w:hint="eastAsia" w:ascii="宋体" w:hAnsi="宋体" w:cs="宋体"/>
          <w:b w:val="0"/>
          <w:bCs w:val="0"/>
          <w:color w:val="auto"/>
        </w:rPr>
        <w:t>采购人分三次向成交供应商付款，第一次支付合同价款的</w:t>
      </w:r>
      <w:r>
        <w:rPr>
          <w:rFonts w:hint="eastAsia" w:ascii="宋体" w:hAnsi="宋体" w:cs="宋体"/>
          <w:b w:val="0"/>
          <w:bCs w:val="0"/>
          <w:color w:val="auto"/>
          <w:lang w:val="en-US" w:eastAsia="zh-CN"/>
        </w:rPr>
        <w:t>50</w:t>
      </w:r>
      <w:r>
        <w:rPr>
          <w:rFonts w:hint="eastAsia" w:ascii="宋体" w:hAnsi="宋体" w:cs="宋体"/>
          <w:b w:val="0"/>
          <w:bCs w:val="0"/>
          <w:color w:val="auto"/>
        </w:rPr>
        <w:t>%（</w:t>
      </w:r>
      <w:r>
        <w:rPr>
          <w:rFonts w:hint="eastAsia" w:ascii="宋体" w:hAnsi="宋体" w:cs="宋体"/>
          <w:b w:val="0"/>
          <w:bCs w:val="0"/>
          <w:color w:val="auto"/>
          <w:lang w:val="en-US" w:eastAsia="zh-CN"/>
        </w:rPr>
        <w:t>合同签订</w:t>
      </w:r>
      <w:r>
        <w:rPr>
          <w:rFonts w:hint="eastAsia" w:ascii="宋体" w:hAnsi="宋体" w:cs="宋体"/>
          <w:b w:val="0"/>
          <w:bCs w:val="0"/>
          <w:color w:val="auto"/>
        </w:rPr>
        <w:t>后十五个工作日内支付），第二次支付合同价款的40%</w:t>
      </w:r>
      <w:r>
        <w:rPr>
          <w:rFonts w:hint="eastAsia" w:ascii="宋体" w:hAnsi="宋体" w:cs="宋体"/>
          <w:b w:val="0"/>
          <w:bCs w:val="0"/>
          <w:color w:val="auto"/>
          <w:lang w:eastAsia="zh-CN"/>
        </w:rPr>
        <w:t>（</w:t>
      </w:r>
      <w:r>
        <w:rPr>
          <w:rFonts w:hint="eastAsia" w:ascii="宋体" w:hAnsi="宋体" w:cs="宋体"/>
          <w:b w:val="0"/>
          <w:bCs w:val="0"/>
          <w:color w:val="auto"/>
          <w:lang w:val="en-US" w:eastAsia="zh-CN"/>
        </w:rPr>
        <w:t>自验收合格后三十</w:t>
      </w:r>
      <w:r>
        <w:rPr>
          <w:rFonts w:hint="eastAsia" w:ascii="宋体" w:hAnsi="宋体" w:cs="宋体"/>
          <w:b w:val="0"/>
          <w:bCs w:val="0"/>
          <w:color w:val="auto"/>
        </w:rPr>
        <w:t>个工作日内支付</w:t>
      </w:r>
      <w:r>
        <w:rPr>
          <w:rFonts w:hint="eastAsia" w:ascii="宋体" w:hAnsi="宋体" w:cs="宋体"/>
          <w:b w:val="0"/>
          <w:bCs w:val="0"/>
          <w:color w:val="auto"/>
          <w:lang w:eastAsia="zh-CN"/>
        </w:rPr>
        <w:t>）</w:t>
      </w:r>
      <w:r>
        <w:rPr>
          <w:rFonts w:hint="eastAsia" w:ascii="宋体" w:hAnsi="宋体" w:cs="宋体"/>
          <w:b w:val="0"/>
          <w:bCs w:val="0"/>
          <w:color w:val="auto"/>
        </w:rPr>
        <w:t>，第三次支付合同价款的</w:t>
      </w:r>
      <w:r>
        <w:rPr>
          <w:rFonts w:hint="eastAsia" w:ascii="宋体" w:hAnsi="宋体" w:cs="宋体"/>
          <w:b w:val="0"/>
          <w:bCs w:val="0"/>
          <w:color w:val="auto"/>
          <w:lang w:val="en-US" w:eastAsia="zh-CN"/>
        </w:rPr>
        <w:t>10</w:t>
      </w:r>
      <w:r>
        <w:rPr>
          <w:rFonts w:hint="eastAsia" w:ascii="宋体" w:hAnsi="宋体" w:cs="宋体"/>
          <w:b w:val="0"/>
          <w:bCs w:val="0"/>
          <w:color w:val="auto"/>
        </w:rPr>
        <w:t>%</w:t>
      </w:r>
      <w:r>
        <w:rPr>
          <w:rFonts w:hint="eastAsia" w:ascii="宋体" w:hAnsi="宋体" w:cs="宋体"/>
          <w:b w:val="0"/>
          <w:bCs w:val="0"/>
          <w:color w:val="auto"/>
          <w:lang w:eastAsia="zh-CN"/>
        </w:rPr>
        <w:t>（</w:t>
      </w:r>
      <w:r>
        <w:rPr>
          <w:rFonts w:hint="eastAsia" w:ascii="宋体" w:hAnsi="宋体" w:cs="宋体"/>
          <w:b w:val="0"/>
          <w:bCs w:val="0"/>
          <w:color w:val="auto"/>
          <w:lang w:val="en-US" w:eastAsia="zh-CN"/>
        </w:rPr>
        <w:t>验收合格一年后</w:t>
      </w:r>
      <w:r>
        <w:rPr>
          <w:rFonts w:hint="eastAsia" w:ascii="宋体" w:hAnsi="宋体" w:cs="宋体"/>
          <w:b w:val="0"/>
          <w:bCs w:val="0"/>
          <w:color w:val="auto"/>
        </w:rPr>
        <w:t>支付</w:t>
      </w:r>
      <w:r>
        <w:rPr>
          <w:rFonts w:hint="eastAsia" w:ascii="宋体" w:hAnsi="宋体" w:cs="宋体"/>
          <w:b w:val="0"/>
          <w:bCs w:val="0"/>
          <w:color w:val="auto"/>
          <w:lang w:eastAsia="zh-CN"/>
        </w:rPr>
        <w:t>）</w:t>
      </w:r>
      <w:r>
        <w:rPr>
          <w:rFonts w:hint="eastAsia" w:ascii="宋体" w:hAnsi="宋体" w:cs="宋体"/>
          <w:b w:val="0"/>
          <w:bCs w:val="0"/>
          <w:color w:val="auto"/>
        </w:rPr>
        <w:t>。</w:t>
      </w:r>
    </w:p>
    <w:p w14:paraId="4701F706">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2、结算方式：银行转账。</w:t>
      </w:r>
    </w:p>
    <w:p w14:paraId="684E734F">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3、结算单位：由</w:t>
      </w:r>
      <w:r>
        <w:rPr>
          <w:rFonts w:hint="eastAsia" w:ascii="宋体" w:hAnsi="宋体" w:eastAsia="宋体" w:cs="宋体"/>
          <w:u w:val="single"/>
        </w:rPr>
        <w:t>采购人</w:t>
      </w:r>
      <w:r>
        <w:rPr>
          <w:rFonts w:hint="eastAsia" w:ascii="宋体" w:hAnsi="宋体" w:eastAsia="宋体" w:cs="宋体"/>
        </w:rPr>
        <w:t>负责结算，乙方开具合同总价数的全额发票交采购人。</w:t>
      </w:r>
    </w:p>
    <w:p w14:paraId="08A6E852">
      <w:pPr>
        <w:pStyle w:val="2"/>
        <w:keepLines w:val="0"/>
        <w:pageBreakBefore w:val="0"/>
        <w:widowControl/>
        <w:kinsoku/>
        <w:wordWrap/>
        <w:overflowPunct/>
        <w:topLinePunct w:val="0"/>
        <w:bidi w:val="0"/>
        <w:snapToGrid/>
        <w:spacing w:before="0" w:after="0" w:line="360" w:lineRule="auto"/>
        <w:ind w:left="0" w:leftChars="0" w:right="0" w:rightChars="0" w:firstLine="482" w:firstLineChars="200"/>
        <w:rPr>
          <w:rFonts w:ascii="宋体" w:hAnsi="宋体" w:eastAsia="宋体" w:cs="宋体"/>
          <w:b/>
          <w:sz w:val="24"/>
          <w:szCs w:val="24"/>
          <w:lang w:val="zh-CN"/>
        </w:rPr>
      </w:pPr>
      <w:bookmarkStart w:id="3" w:name="_Toc7335854"/>
      <w:r>
        <w:rPr>
          <w:rFonts w:hint="eastAsia" w:ascii="宋体" w:hAnsi="宋体" w:eastAsia="宋体" w:cs="宋体"/>
          <w:b/>
          <w:sz w:val="24"/>
          <w:szCs w:val="24"/>
          <w:lang w:val="zh-CN"/>
        </w:rPr>
        <w:t>四、履行期限、地点及方式:</w:t>
      </w:r>
      <w:bookmarkEnd w:id="3"/>
    </w:p>
    <w:p w14:paraId="6459BA69">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hint="default" w:ascii="宋体" w:hAnsi="宋体" w:eastAsia="宋体" w:cs="宋体"/>
          <w:lang w:val="en-US" w:eastAsia="zh-CN"/>
        </w:rPr>
      </w:pPr>
      <w:r>
        <w:rPr>
          <w:rFonts w:hint="eastAsia" w:ascii="宋体" w:hAnsi="宋体" w:eastAsia="宋体" w:cs="宋体"/>
        </w:rPr>
        <w:t>1、履行期限：</w:t>
      </w:r>
      <w:r>
        <w:rPr>
          <w:rFonts w:hint="eastAsia" w:ascii="宋体" w:hAnsi="宋体" w:eastAsia="宋体" w:cs="宋体"/>
          <w:u w:val="single"/>
          <w:lang w:val="en-US" w:eastAsia="zh-CN"/>
        </w:rPr>
        <w:t xml:space="preserve">      </w:t>
      </w:r>
    </w:p>
    <w:p w14:paraId="578A17CB">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2、地点：采购人指定地点</w:t>
      </w:r>
    </w:p>
    <w:p w14:paraId="0E188176">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hint="eastAsia" w:ascii="宋体" w:hAnsi="宋体" w:eastAsia="宋体" w:cs="宋体"/>
        </w:rPr>
      </w:pPr>
      <w:r>
        <w:rPr>
          <w:rFonts w:hint="eastAsia" w:ascii="宋体" w:hAnsi="宋体" w:eastAsia="宋体" w:cs="宋体"/>
        </w:rPr>
        <w:t>3、方式：</w:t>
      </w:r>
      <w:bookmarkStart w:id="4" w:name="_Toc7335855"/>
      <w:r>
        <w:rPr>
          <w:rFonts w:hint="eastAsia" w:ascii="宋体" w:hAnsi="宋体" w:eastAsia="宋体" w:cs="宋体"/>
          <w:u w:val="single"/>
          <w:lang w:val="en-US" w:eastAsia="zh-CN"/>
        </w:rPr>
        <w:t xml:space="preserve">      </w:t>
      </w:r>
    </w:p>
    <w:p w14:paraId="10AF0FC0">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2" w:firstLineChars="200"/>
        <w:textAlignment w:val="auto"/>
        <w:rPr>
          <w:rFonts w:hint="eastAsia" w:ascii="宋体" w:hAnsi="宋体" w:eastAsia="宋体" w:cs="宋体"/>
          <w:b/>
          <w:sz w:val="24"/>
          <w:szCs w:val="24"/>
          <w:lang w:val="zh-CN"/>
        </w:rPr>
      </w:pPr>
      <w:r>
        <w:rPr>
          <w:rFonts w:hint="eastAsia" w:ascii="宋体" w:hAnsi="宋体" w:eastAsia="宋体" w:cs="宋体"/>
          <w:b/>
          <w:sz w:val="24"/>
          <w:szCs w:val="24"/>
          <w:lang w:val="zh-CN"/>
        </w:rPr>
        <w:t>五、运输</w:t>
      </w:r>
      <w:bookmarkEnd w:id="4"/>
    </w:p>
    <w:p w14:paraId="623A8E27">
      <w:pPr>
        <w:keepNext w:val="0"/>
        <w:keepLines w:val="0"/>
        <w:pageBreakBefore w:val="0"/>
        <w:widowControl w:val="0"/>
        <w:kinsoku w:val="0"/>
        <w:wordWrap/>
        <w:overflowPunct/>
        <w:topLinePunct w:val="0"/>
        <w:autoSpaceDE/>
        <w:autoSpaceDN/>
        <w:bidi w:val="0"/>
        <w:adjustRightInd w:val="0"/>
        <w:snapToGrid/>
        <w:spacing w:line="360" w:lineRule="auto"/>
        <w:ind w:left="0" w:leftChars="0" w:right="0" w:rightChars="0" w:firstLine="480" w:firstLineChars="200"/>
        <w:textAlignment w:val="auto"/>
        <w:rPr>
          <w:rFonts w:ascii="宋体" w:hAnsi="宋体" w:eastAsia="宋体" w:cs="宋体"/>
        </w:rPr>
      </w:pPr>
      <w:r>
        <w:rPr>
          <w:rFonts w:hint="eastAsia" w:ascii="宋体" w:hAnsi="宋体" w:eastAsia="宋体" w:cs="宋体"/>
        </w:rPr>
        <w:t>1、乙方负责所有货物的运输。确保货物安全、完整到达使用地点，运杂费用包含在总价内，包括货物从供货地点到使用地点的运输费、保险费、搬运费等。</w:t>
      </w:r>
    </w:p>
    <w:p w14:paraId="4CD63997">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textAlignment w:val="auto"/>
        <w:rPr>
          <w:rFonts w:ascii="宋体" w:hAnsi="宋体" w:eastAsia="宋体" w:cs="宋体"/>
        </w:rPr>
      </w:pPr>
      <w:r>
        <w:rPr>
          <w:rFonts w:hint="eastAsia" w:ascii="宋体" w:hAnsi="宋体" w:eastAsia="宋体" w:cs="宋体"/>
        </w:rPr>
        <w:t>2、所有货物在运输、搬运、安装的过程中，造成甲方损失的，由乙方为甲方修复或更新。</w:t>
      </w:r>
    </w:p>
    <w:p w14:paraId="5C01C545">
      <w:pPr>
        <w:pStyle w:val="2"/>
        <w:keepLines w:val="0"/>
        <w:pageBreakBefore w:val="0"/>
        <w:widowControl/>
        <w:kinsoku/>
        <w:wordWrap/>
        <w:overflowPunct/>
        <w:topLinePunct w:val="0"/>
        <w:bidi w:val="0"/>
        <w:snapToGrid/>
        <w:spacing w:before="0" w:after="0" w:line="360" w:lineRule="auto"/>
        <w:ind w:left="0" w:leftChars="0" w:right="0" w:rightChars="0" w:firstLine="482" w:firstLineChars="200"/>
        <w:rPr>
          <w:rFonts w:ascii="宋体" w:hAnsi="宋体" w:eastAsia="宋体" w:cs="宋体"/>
          <w:b/>
          <w:sz w:val="24"/>
          <w:szCs w:val="24"/>
          <w:lang w:val="zh-CN"/>
        </w:rPr>
      </w:pPr>
      <w:bookmarkStart w:id="5" w:name="_Toc7335856"/>
      <w:r>
        <w:rPr>
          <w:rFonts w:hint="eastAsia" w:ascii="宋体" w:hAnsi="宋体" w:eastAsia="宋体" w:cs="宋体"/>
          <w:b/>
          <w:sz w:val="24"/>
          <w:szCs w:val="24"/>
          <w:lang w:val="zh-CN"/>
        </w:rPr>
        <w:t>六、质量保证</w:t>
      </w:r>
      <w:bookmarkEnd w:id="5"/>
    </w:p>
    <w:p w14:paraId="20A8E5F9">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1、乙方提供货物必须是原品牌制造厂制造的最新工艺、生产的最新产品。</w:t>
      </w:r>
    </w:p>
    <w:p w14:paraId="56743B84">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2、所供货物必须是经过办理正常手续的全新产品。</w:t>
      </w:r>
    </w:p>
    <w:p w14:paraId="592F47B6">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3、所供货物是经过国家法定检验、注册、准许市场销售的合法产品。</w:t>
      </w:r>
    </w:p>
    <w:p w14:paraId="40B795AC">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4、货物性能稳定、具有较好的使用效果，质量保证措施完善，符合国家相关标准。</w:t>
      </w:r>
    </w:p>
    <w:p w14:paraId="0D603A97">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5、货物的质保期为验收合格后</w:t>
      </w:r>
      <w:r>
        <w:rPr>
          <w:rFonts w:hint="eastAsia" w:ascii="宋体" w:hAnsi="宋体" w:eastAsia="宋体" w:cs="宋体"/>
          <w:u w:val="single"/>
          <w:lang w:val="en-US" w:eastAsia="zh-CN"/>
        </w:rPr>
        <w:t>1</w:t>
      </w:r>
      <w:r>
        <w:rPr>
          <w:rFonts w:hint="eastAsia" w:ascii="宋体" w:hAnsi="宋体" w:eastAsia="宋体" w:cs="宋体"/>
          <w:lang w:val="en-US" w:eastAsia="zh-CN"/>
        </w:rPr>
        <w:t>年</w:t>
      </w:r>
      <w:r>
        <w:rPr>
          <w:rFonts w:hint="eastAsia" w:ascii="宋体" w:hAnsi="宋体" w:eastAsia="宋体" w:cs="宋体"/>
        </w:rPr>
        <w:t>，终身维护保养，质保期后，只收取成本费用。</w:t>
      </w:r>
    </w:p>
    <w:p w14:paraId="7276A30D">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6、包装要求</w:t>
      </w:r>
    </w:p>
    <w:p w14:paraId="5ADFD241">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6-1、除合同另有规定外，乙方提供的全部货物，均应按标准保护措施进行包装，并确保货物安全无损运抵甲方指定地点。</w:t>
      </w:r>
    </w:p>
    <w:p w14:paraId="1BEAF750">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6-2、每一个包装箱内应附一份详细装箱单和质量合格证。</w:t>
      </w:r>
    </w:p>
    <w:p w14:paraId="31784BAF">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7、乙方应保证甲方在使用该货物或其任何一部分时免受第三方提出侵犯其专利权、商标权或工业设计权的起诉。</w:t>
      </w:r>
    </w:p>
    <w:p w14:paraId="01999551">
      <w:pPr>
        <w:pStyle w:val="2"/>
        <w:keepLines w:val="0"/>
        <w:pageBreakBefore w:val="0"/>
        <w:widowControl/>
        <w:kinsoku/>
        <w:wordWrap/>
        <w:overflowPunct/>
        <w:topLinePunct w:val="0"/>
        <w:bidi w:val="0"/>
        <w:snapToGrid/>
        <w:spacing w:before="0" w:after="0" w:line="360" w:lineRule="auto"/>
        <w:ind w:left="0" w:leftChars="0" w:right="0" w:rightChars="0" w:firstLine="482" w:firstLineChars="200"/>
        <w:rPr>
          <w:rFonts w:ascii="宋体" w:hAnsi="宋体" w:eastAsia="宋体" w:cs="宋体"/>
          <w:b/>
          <w:sz w:val="24"/>
          <w:szCs w:val="24"/>
          <w:lang w:val="zh-CN"/>
        </w:rPr>
      </w:pPr>
      <w:bookmarkStart w:id="6" w:name="_Toc7335857"/>
      <w:r>
        <w:rPr>
          <w:rFonts w:hint="eastAsia" w:ascii="宋体" w:hAnsi="宋体" w:eastAsia="宋体" w:cs="宋体"/>
          <w:b/>
          <w:sz w:val="24"/>
          <w:szCs w:val="24"/>
          <w:lang w:val="zh-CN"/>
        </w:rPr>
        <w:t>七、技术服务</w:t>
      </w:r>
      <w:bookmarkEnd w:id="6"/>
    </w:p>
    <w:p w14:paraId="6BA96876">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1、对技术服务的要求：</w:t>
      </w:r>
    </w:p>
    <w:p w14:paraId="6CED2751">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2、技术资料：</w:t>
      </w:r>
    </w:p>
    <w:p w14:paraId="1F9C1417">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2-1、产品合格证及检验报告；</w:t>
      </w:r>
    </w:p>
    <w:p w14:paraId="3DDC122F">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2-2、产品使用说明书（中文）；</w:t>
      </w:r>
    </w:p>
    <w:p w14:paraId="447A559A">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2-3、中国商品检验局出具的商检合格证明（进口产品）；</w:t>
      </w:r>
    </w:p>
    <w:p w14:paraId="45D240B8">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2-4、其它资料。</w:t>
      </w:r>
    </w:p>
    <w:p w14:paraId="024E220D">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3、技术培训：</w:t>
      </w:r>
    </w:p>
    <w:p w14:paraId="6B9D6548">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3-1、培训内容：</w:t>
      </w:r>
    </w:p>
    <w:p w14:paraId="7B2DF0A1">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3-2、培训地点：</w:t>
      </w:r>
    </w:p>
    <w:p w14:paraId="02BC753D">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3-3、培训时间：</w:t>
      </w:r>
    </w:p>
    <w:p w14:paraId="786419CD">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3-4、培训人数：</w:t>
      </w:r>
    </w:p>
    <w:p w14:paraId="6A79E85B">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3-5、培训费用：受训人员的食宿费、资料费、培训场地费、耗材（包括水电费等）费等已包含在合同总价中，甲方不再另行支付。</w:t>
      </w:r>
    </w:p>
    <w:p w14:paraId="57726F7B">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4、售后服务</w:t>
      </w:r>
    </w:p>
    <w:p w14:paraId="5A778DB7">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4-1、乙方在接到甲方保修电话故障通知后在12小时内派出合格的维修人员到达现场进行维修服务，承担相应费用，若需将产品送回生产厂，乙方应提供备用机、承担维修产品所需的往返费用。</w:t>
      </w:r>
    </w:p>
    <w:p w14:paraId="7AF597D7">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4-2、如果乙方在收到通知后两天内没有弥补缺陷，甲方可采取必要的补救措施，但其风险和费用将由乙方承担，甲方根据合同规定对乙方行使的其它权力不受影响。甲方亦可从质保金中扣回索赔金额。</w:t>
      </w:r>
    </w:p>
    <w:p w14:paraId="7697B3A2">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5、伴随服务</w:t>
      </w:r>
    </w:p>
    <w:p w14:paraId="4861C5A1">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5-1、乙方应随同每套货物提供相应的中文的技术文件。</w:t>
      </w:r>
    </w:p>
    <w:p w14:paraId="464F4B0B">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5-1-1、完整的操作使用手册和维护、修理技术文件，图纸、保修卡等。</w:t>
      </w:r>
    </w:p>
    <w:p w14:paraId="01EA92BB">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textAlignment w:val="auto"/>
        <w:rPr>
          <w:rFonts w:ascii="宋体" w:hAnsi="宋体" w:eastAsia="宋体" w:cs="宋体"/>
        </w:rPr>
      </w:pPr>
      <w:r>
        <w:rPr>
          <w:rFonts w:hint="eastAsia" w:ascii="宋体" w:hAnsi="宋体" w:eastAsia="宋体" w:cs="宋体"/>
        </w:rPr>
        <w:t>5-1-2、制造厂的检验、测试报告、检验合格证书，计量合格等级证书，质量保证书等文件须随产品装箱提供。</w:t>
      </w:r>
    </w:p>
    <w:p w14:paraId="7CEA9396">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textAlignment w:val="auto"/>
        <w:rPr>
          <w:rFonts w:ascii="宋体" w:hAnsi="宋体" w:eastAsia="宋体" w:cs="宋体"/>
        </w:rPr>
      </w:pPr>
      <w:r>
        <w:rPr>
          <w:rFonts w:hint="eastAsia" w:ascii="宋体" w:hAnsi="宋体" w:eastAsia="宋体" w:cs="宋体"/>
        </w:rPr>
        <w:t>5-1-3、必须的其它技术资料。</w:t>
      </w:r>
    </w:p>
    <w:p w14:paraId="796CC480">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textAlignment w:val="auto"/>
        <w:rPr>
          <w:rFonts w:ascii="宋体" w:hAnsi="宋体" w:eastAsia="宋体" w:cs="宋体"/>
        </w:rPr>
      </w:pPr>
      <w:r>
        <w:rPr>
          <w:rFonts w:hint="eastAsia" w:ascii="宋体" w:hAnsi="宋体" w:eastAsia="宋体" w:cs="宋体"/>
        </w:rPr>
        <w:t>5-2、伴随服务的费用已含在合同价中，不单独进行支付。</w:t>
      </w:r>
    </w:p>
    <w:p w14:paraId="1DA77C20">
      <w:pPr>
        <w:pStyle w:val="2"/>
        <w:keepNext w:val="0"/>
        <w:keepLines w:val="0"/>
        <w:pageBreakBefore w:val="0"/>
        <w:widowControl w:val="0"/>
        <w:kinsoku/>
        <w:wordWrap/>
        <w:overflowPunct/>
        <w:topLinePunct w:val="0"/>
        <w:autoSpaceDE/>
        <w:autoSpaceDN/>
        <w:bidi w:val="0"/>
        <w:snapToGrid/>
        <w:spacing w:before="0" w:after="0" w:line="360" w:lineRule="auto"/>
        <w:ind w:left="0" w:leftChars="0" w:right="0" w:rightChars="0" w:firstLine="482" w:firstLineChars="200"/>
        <w:textAlignment w:val="auto"/>
        <w:rPr>
          <w:rFonts w:ascii="宋体" w:hAnsi="宋体" w:eastAsia="宋体" w:cs="宋体"/>
          <w:b/>
          <w:sz w:val="24"/>
          <w:szCs w:val="24"/>
          <w:lang w:val="zh-CN"/>
        </w:rPr>
      </w:pPr>
      <w:bookmarkStart w:id="7" w:name="_Toc7335858"/>
      <w:r>
        <w:rPr>
          <w:rFonts w:hint="eastAsia" w:ascii="宋体" w:hAnsi="宋体" w:eastAsia="宋体" w:cs="宋体"/>
          <w:b/>
          <w:sz w:val="24"/>
          <w:szCs w:val="24"/>
          <w:lang w:val="zh-CN"/>
        </w:rPr>
        <w:t>八、验收</w:t>
      </w:r>
      <w:bookmarkEnd w:id="7"/>
    </w:p>
    <w:p w14:paraId="36B2F482">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textAlignment w:val="auto"/>
        <w:rPr>
          <w:rFonts w:ascii="宋体" w:hAnsi="宋体" w:eastAsia="宋体" w:cs="宋体"/>
        </w:rPr>
      </w:pPr>
      <w:r>
        <w:rPr>
          <w:rFonts w:hint="eastAsia" w:ascii="宋体" w:hAnsi="宋体" w:eastAsia="宋体" w:cs="宋体"/>
        </w:rPr>
        <w:t>1、到货验收：货物到货后，由甲方与乙方共同进行外观验收，验收内容包括，外包装的完好性，货物品牌、规格、数量及产地与合同要求的一致性。</w:t>
      </w:r>
    </w:p>
    <w:p w14:paraId="7EA63C02">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2、货物运行验收：乙方安装调试合格后，向甲方提出验收申请，甲方接到乙方验收申请后组织验收（必要时可聘请相应专家或委托相应部门验收），验收合格后，出具使用验收合格证明。</w:t>
      </w:r>
    </w:p>
    <w:p w14:paraId="4B0FCF01">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3、最终验收：最终验收结果作为付款依据，乙方填写验收单，并向甲方提交实施过程中的所有资料，以便甲方日后管理和维护。</w:t>
      </w:r>
    </w:p>
    <w:p w14:paraId="3E22ABC2">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4、质保期满后：由乙方出具质保期运行质量报告，作为质保金支付依据，若存在质量问题，应按相应规定协商处理。</w:t>
      </w:r>
    </w:p>
    <w:p w14:paraId="567EA325">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5、验收依据：</w:t>
      </w:r>
    </w:p>
    <w:p w14:paraId="6F8ECCB3">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5-1、合同文本、合同附件、招标文件、投标文件。</w:t>
      </w:r>
    </w:p>
    <w:p w14:paraId="76EA535A">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5-2、国内相应的标准、规范。</w:t>
      </w:r>
    </w:p>
    <w:p w14:paraId="3A1B84E8">
      <w:pPr>
        <w:pStyle w:val="2"/>
        <w:keepLines w:val="0"/>
        <w:pageBreakBefore w:val="0"/>
        <w:widowControl/>
        <w:kinsoku/>
        <w:wordWrap/>
        <w:overflowPunct/>
        <w:topLinePunct w:val="0"/>
        <w:bidi w:val="0"/>
        <w:snapToGrid/>
        <w:spacing w:before="0" w:after="0" w:line="360" w:lineRule="auto"/>
        <w:ind w:left="0" w:leftChars="0" w:right="0" w:rightChars="0" w:firstLine="482" w:firstLineChars="200"/>
        <w:rPr>
          <w:rFonts w:ascii="宋体" w:hAnsi="宋体" w:eastAsia="宋体" w:cs="宋体"/>
          <w:b/>
          <w:sz w:val="24"/>
          <w:szCs w:val="24"/>
          <w:lang w:val="zh-CN"/>
        </w:rPr>
      </w:pPr>
      <w:bookmarkStart w:id="8" w:name="_Toc7335859"/>
      <w:r>
        <w:rPr>
          <w:rFonts w:hint="eastAsia" w:ascii="宋体" w:hAnsi="宋体" w:eastAsia="宋体" w:cs="宋体"/>
          <w:b/>
          <w:sz w:val="24"/>
          <w:szCs w:val="24"/>
          <w:lang w:val="zh-CN"/>
        </w:rPr>
        <w:t>九、违约责任</w:t>
      </w:r>
      <w:bookmarkEnd w:id="8"/>
    </w:p>
    <w:p w14:paraId="61576B78">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1、按《合同法》中的相关条款执行。</w:t>
      </w:r>
    </w:p>
    <w:p w14:paraId="4E931D53">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2、乙方履约延误</w:t>
      </w:r>
    </w:p>
    <w:p w14:paraId="6ADC740F">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2-1、如乙方事先未征得甲方同意并得到甲方的谅解而单方面延迟交货，将按违约终止合同。</w:t>
      </w:r>
    </w:p>
    <w:p w14:paraId="17A5C8A2">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20B74E5D">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3、违约终止合同：未按合同要求提供货物或质量不能满足技术要求，甲方会同监督机构有权终止合同，对乙方违约行为进行追究，同时按政府采购法的有关规定进行相应的处罚。</w:t>
      </w:r>
    </w:p>
    <w:p w14:paraId="35C3DF82">
      <w:pPr>
        <w:pStyle w:val="2"/>
        <w:keepLines w:val="0"/>
        <w:pageBreakBefore w:val="0"/>
        <w:widowControl/>
        <w:kinsoku/>
        <w:wordWrap/>
        <w:overflowPunct/>
        <w:topLinePunct w:val="0"/>
        <w:bidi w:val="0"/>
        <w:snapToGrid/>
        <w:spacing w:before="0" w:after="0" w:line="360" w:lineRule="auto"/>
        <w:ind w:left="0" w:leftChars="0" w:right="0" w:rightChars="0" w:firstLine="482" w:firstLineChars="200"/>
        <w:rPr>
          <w:rFonts w:ascii="宋体" w:hAnsi="宋体" w:eastAsia="宋体" w:cs="宋体"/>
          <w:b/>
          <w:sz w:val="24"/>
          <w:szCs w:val="24"/>
          <w:lang w:val="zh-CN"/>
        </w:rPr>
      </w:pPr>
      <w:bookmarkStart w:id="9" w:name="_Toc7335860"/>
      <w:r>
        <w:rPr>
          <w:rFonts w:hint="eastAsia" w:ascii="宋体" w:hAnsi="宋体" w:eastAsia="宋体" w:cs="宋体"/>
          <w:b/>
          <w:sz w:val="24"/>
          <w:szCs w:val="24"/>
          <w:lang w:val="zh-CN"/>
        </w:rPr>
        <w:t>十、合同组成</w:t>
      </w:r>
      <w:bookmarkEnd w:id="9"/>
    </w:p>
    <w:p w14:paraId="1388C2AE">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1、中标通知书</w:t>
      </w:r>
    </w:p>
    <w:p w14:paraId="17B1365D">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2、合同文件</w:t>
      </w:r>
    </w:p>
    <w:p w14:paraId="7731039C">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3、国家相关规范及标准</w:t>
      </w:r>
    </w:p>
    <w:p w14:paraId="11E07A55">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4、供货产品技术规格及参数表</w:t>
      </w:r>
    </w:p>
    <w:p w14:paraId="02441AD9">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5、招标文件</w:t>
      </w:r>
    </w:p>
    <w:p w14:paraId="3801155D">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6、投标文件</w:t>
      </w:r>
    </w:p>
    <w:p w14:paraId="1063E0B1">
      <w:pPr>
        <w:pStyle w:val="2"/>
        <w:keepLines w:val="0"/>
        <w:pageBreakBefore w:val="0"/>
        <w:widowControl/>
        <w:kinsoku/>
        <w:wordWrap/>
        <w:overflowPunct/>
        <w:topLinePunct w:val="0"/>
        <w:bidi w:val="0"/>
        <w:snapToGrid/>
        <w:spacing w:before="0" w:after="0" w:line="360" w:lineRule="auto"/>
        <w:ind w:left="0" w:leftChars="0" w:right="0" w:rightChars="0" w:firstLine="482" w:firstLineChars="200"/>
        <w:rPr>
          <w:rFonts w:ascii="宋体" w:hAnsi="宋体" w:eastAsia="宋体" w:cs="宋体"/>
          <w:b/>
          <w:sz w:val="24"/>
          <w:szCs w:val="24"/>
          <w:lang w:val="zh-CN"/>
        </w:rPr>
      </w:pPr>
      <w:bookmarkStart w:id="10" w:name="_Toc7335861"/>
      <w:r>
        <w:rPr>
          <w:rFonts w:hint="eastAsia" w:ascii="宋体" w:hAnsi="宋体" w:eastAsia="宋体" w:cs="宋体"/>
          <w:b/>
          <w:sz w:val="24"/>
          <w:szCs w:val="24"/>
          <w:lang w:val="zh-CN"/>
        </w:rPr>
        <w:t>十一、解决争议的方法</w:t>
      </w:r>
      <w:bookmarkEnd w:id="10"/>
    </w:p>
    <w:p w14:paraId="56550744">
      <w:pPr>
        <w:keepLines w:val="0"/>
        <w:pageBreakBefore w:val="0"/>
        <w:widowControl/>
        <w:kinsoku/>
        <w:wordWrap/>
        <w:overflowPunct/>
        <w:topLinePunct w:val="0"/>
        <w:autoSpaceDE w:val="0"/>
        <w:autoSpaceDN w:val="0"/>
        <w:bidi w:val="0"/>
        <w:snapToGrid/>
        <w:spacing w:line="360" w:lineRule="auto"/>
        <w:ind w:left="0" w:leftChars="0" w:right="0" w:rightChars="0" w:firstLine="480" w:firstLineChars="200"/>
        <w:textAlignment w:val="bottom"/>
        <w:rPr>
          <w:rFonts w:ascii="宋体" w:hAnsi="宋体" w:eastAsia="宋体" w:cs="宋体"/>
        </w:rPr>
      </w:pPr>
      <w:r>
        <w:rPr>
          <w:rFonts w:hint="eastAsia" w:ascii="宋体" w:hAnsi="宋体" w:eastAsia="宋体" w:cs="宋体"/>
        </w:rPr>
        <w:t>凡因本合同引起的或与本合同有关的争议，双方应友好协商解决。协商不成时，双方均同意采用以下第（  ）种争议解决方式：</w:t>
      </w:r>
    </w:p>
    <w:p w14:paraId="09EC1BD7">
      <w:pPr>
        <w:keepLines w:val="0"/>
        <w:pageBreakBefore w:val="0"/>
        <w:widowControl/>
        <w:kinsoku/>
        <w:wordWrap/>
        <w:overflowPunct/>
        <w:topLinePunct w:val="0"/>
        <w:autoSpaceDE w:val="0"/>
        <w:autoSpaceDN w:val="0"/>
        <w:bidi w:val="0"/>
        <w:snapToGrid/>
        <w:spacing w:line="360" w:lineRule="auto"/>
        <w:ind w:left="0" w:leftChars="0" w:right="0" w:rightChars="0" w:firstLine="480" w:firstLineChars="200"/>
        <w:textAlignment w:val="bottom"/>
        <w:rPr>
          <w:rFonts w:ascii="宋体" w:hAnsi="宋体" w:eastAsia="宋体" w:cs="宋体"/>
        </w:rPr>
      </w:pPr>
      <w:r>
        <w:rPr>
          <w:rFonts w:hint="eastAsia" w:ascii="宋体" w:hAnsi="宋体" w:eastAsia="宋体" w:cs="宋体"/>
        </w:rPr>
        <w:t>（1）、甲、乙双方均同意向（甲方所在地人民法院）提起诉讼。</w:t>
      </w:r>
    </w:p>
    <w:p w14:paraId="7C5E3E06">
      <w:pPr>
        <w:keepLines w:val="0"/>
        <w:pageBreakBefore w:val="0"/>
        <w:widowControl/>
        <w:kinsoku/>
        <w:wordWrap/>
        <w:overflowPunct/>
        <w:topLinePunct w:val="0"/>
        <w:autoSpaceDE w:val="0"/>
        <w:autoSpaceDN w:val="0"/>
        <w:bidi w:val="0"/>
        <w:snapToGrid/>
        <w:spacing w:line="360" w:lineRule="auto"/>
        <w:ind w:left="0" w:leftChars="0" w:right="0" w:rightChars="0" w:firstLine="480" w:firstLineChars="200"/>
        <w:textAlignment w:val="bottom"/>
        <w:rPr>
          <w:rFonts w:ascii="宋体" w:hAnsi="宋体" w:eastAsia="宋体" w:cs="宋体"/>
        </w:rPr>
      </w:pPr>
      <w:r>
        <w:rPr>
          <w:rFonts w:hint="eastAsia" w:ascii="宋体" w:hAnsi="宋体" w:eastAsia="宋体" w:cs="宋体"/>
        </w:rPr>
        <w:t>（2）、甲、乙双方均同意向（</w:t>
      </w:r>
      <w:r>
        <w:fldChar w:fldCharType="begin"/>
      </w:r>
      <w:r>
        <w:instrText xml:space="preserve"> HYPERLINK "http://www.baidu.com/s?wd=%E4%BB%B2%E8%A3%81%E5%A7%94%E5%91%98%E4%BC%9A&amp;tn=SE_PcZhidaonwhc_ngpagmjz&amp;rsv_dl=gh_pc_zhidao" \t "_blank" </w:instrText>
      </w:r>
      <w:r>
        <w:fldChar w:fldCharType="separate"/>
      </w:r>
      <w:r>
        <w:rPr>
          <w:rFonts w:hint="eastAsia" w:ascii="宋体" w:hAnsi="宋体" w:eastAsia="宋体" w:cs="宋体"/>
        </w:rPr>
        <w:t>仲裁委员会</w:t>
      </w:r>
      <w:r>
        <w:rPr>
          <w:rFonts w:hint="eastAsia" w:ascii="宋体" w:hAnsi="宋体" w:eastAsia="宋体" w:cs="宋体"/>
        </w:rPr>
        <w:fldChar w:fldCharType="end"/>
      </w:r>
      <w:r>
        <w:rPr>
          <w:rFonts w:hint="eastAsia" w:ascii="宋体" w:hAnsi="宋体" w:eastAsia="宋体" w:cs="宋体"/>
        </w:rPr>
        <w:t>）提起仲裁。</w:t>
      </w:r>
    </w:p>
    <w:p w14:paraId="75D549BD">
      <w:pPr>
        <w:pStyle w:val="2"/>
        <w:keepLines w:val="0"/>
        <w:pageBreakBefore w:val="0"/>
        <w:widowControl/>
        <w:kinsoku/>
        <w:wordWrap/>
        <w:overflowPunct/>
        <w:topLinePunct w:val="0"/>
        <w:bidi w:val="0"/>
        <w:snapToGrid/>
        <w:spacing w:before="0" w:after="0" w:line="360" w:lineRule="auto"/>
        <w:ind w:left="0" w:leftChars="0" w:right="0" w:rightChars="0" w:firstLine="482" w:firstLineChars="200"/>
        <w:rPr>
          <w:rFonts w:ascii="宋体" w:hAnsi="宋体" w:eastAsia="宋体" w:cs="宋体"/>
          <w:b/>
          <w:sz w:val="24"/>
          <w:szCs w:val="24"/>
        </w:rPr>
      </w:pPr>
      <w:bookmarkStart w:id="11" w:name="_Toc7335862"/>
      <w:r>
        <w:rPr>
          <w:rFonts w:hint="eastAsia" w:ascii="宋体" w:hAnsi="宋体" w:eastAsia="宋体" w:cs="宋体"/>
          <w:b/>
          <w:sz w:val="24"/>
          <w:szCs w:val="24"/>
          <w:lang w:val="zh-CN"/>
        </w:rPr>
        <w:t>十二、合同生效及其它</w:t>
      </w:r>
      <w:bookmarkEnd w:id="11"/>
    </w:p>
    <w:p w14:paraId="58D0B61C">
      <w:pPr>
        <w:keepLines w:val="0"/>
        <w:pageBreakBefore w:val="0"/>
        <w:widowControl/>
        <w:kinsoku/>
        <w:wordWrap/>
        <w:overflowPunct/>
        <w:topLinePunct w:val="0"/>
        <w:autoSpaceDE w:val="0"/>
        <w:autoSpaceDN w:val="0"/>
        <w:bidi w:val="0"/>
        <w:snapToGrid/>
        <w:spacing w:line="360" w:lineRule="auto"/>
        <w:ind w:left="0" w:leftChars="0" w:right="0" w:rightChars="0" w:firstLine="480" w:firstLineChars="200"/>
        <w:textAlignment w:val="bottom"/>
        <w:rPr>
          <w:rFonts w:ascii="宋体" w:hAnsi="宋体" w:eastAsia="宋体" w:cs="宋体"/>
        </w:rPr>
      </w:pPr>
      <w:r>
        <w:rPr>
          <w:rFonts w:hint="eastAsia" w:ascii="宋体" w:hAnsi="宋体" w:eastAsia="宋体" w:cs="宋体"/>
        </w:rPr>
        <w:t>1、合同未尽事宜、由甲、乙双方协商，作为合同补充，与原合同具有同等法律效力。</w:t>
      </w:r>
    </w:p>
    <w:p w14:paraId="0411BC12">
      <w:pPr>
        <w:keepLines w:val="0"/>
        <w:pageBreakBefore w:val="0"/>
        <w:widowControl/>
        <w:tabs>
          <w:tab w:val="left" w:pos="8391"/>
        </w:tabs>
        <w:kinsoku/>
        <w:wordWrap/>
        <w:overflowPunct/>
        <w:topLinePunct w:val="0"/>
        <w:autoSpaceDE w:val="0"/>
        <w:autoSpaceDN w:val="0"/>
        <w:bidi w:val="0"/>
        <w:snapToGrid/>
        <w:spacing w:line="360" w:lineRule="auto"/>
        <w:ind w:left="0" w:leftChars="0" w:right="0" w:rightChars="0" w:firstLine="480" w:firstLineChars="200"/>
        <w:textAlignment w:val="bottom"/>
        <w:rPr>
          <w:rFonts w:ascii="宋体" w:hAnsi="宋体" w:eastAsia="宋体" w:cs="宋体"/>
        </w:rPr>
      </w:pPr>
      <w:r>
        <w:rPr>
          <w:rFonts w:hint="eastAsia" w:ascii="宋体" w:hAnsi="宋体" w:eastAsia="宋体" w:cs="宋体"/>
        </w:rPr>
        <w:t>2、 本合同正本一式</w:t>
      </w:r>
      <w:r>
        <w:rPr>
          <w:rFonts w:hint="eastAsia" w:ascii="宋体" w:hAnsi="宋体" w:eastAsia="宋体" w:cs="宋体"/>
          <w:u w:val="single"/>
        </w:rPr>
        <w:t xml:space="preserve">  </w:t>
      </w:r>
      <w:r>
        <w:rPr>
          <w:rFonts w:hint="eastAsia" w:ascii="宋体" w:hAnsi="宋体" w:eastAsia="宋体" w:cs="宋体"/>
        </w:rPr>
        <w:t>份，甲方、乙方双方分别执</w:t>
      </w:r>
      <w:r>
        <w:rPr>
          <w:rFonts w:hint="eastAsia" w:ascii="宋体" w:hAnsi="宋体" w:eastAsia="宋体" w:cs="宋体"/>
          <w:u w:val="single"/>
        </w:rPr>
        <w:t xml:space="preserve">  </w:t>
      </w:r>
      <w:r>
        <w:rPr>
          <w:rFonts w:hint="eastAsia" w:ascii="宋体" w:hAnsi="宋体" w:eastAsia="宋体" w:cs="宋体"/>
        </w:rPr>
        <w:t>份，</w:t>
      </w:r>
      <w:r>
        <w:rPr>
          <w:rFonts w:hint="eastAsia" w:ascii="宋体" w:hAnsi="宋体" w:eastAsia="宋体" w:cs="宋体"/>
          <w:u w:val="single"/>
        </w:rPr>
        <w:t xml:space="preserve">   </w:t>
      </w:r>
      <w:r>
        <w:rPr>
          <w:rFonts w:hint="eastAsia" w:ascii="宋体" w:hAnsi="宋体" w:eastAsia="宋体" w:cs="宋体"/>
        </w:rPr>
        <w:t>备案</w:t>
      </w:r>
      <w:r>
        <w:rPr>
          <w:rFonts w:hint="eastAsia" w:ascii="宋体" w:hAnsi="宋体" w:eastAsia="宋体" w:cs="宋体"/>
          <w:u w:val="single"/>
        </w:rPr>
        <w:t xml:space="preserve">  </w:t>
      </w:r>
      <w:r>
        <w:rPr>
          <w:rFonts w:hint="eastAsia" w:ascii="宋体" w:hAnsi="宋体" w:eastAsia="宋体" w:cs="宋体"/>
        </w:rPr>
        <w:t>份。</w:t>
      </w:r>
    </w:p>
    <w:p w14:paraId="1D0BE0C2">
      <w:pPr>
        <w:keepLines w:val="0"/>
        <w:pageBreakBefore w:val="0"/>
        <w:widowControl/>
        <w:tabs>
          <w:tab w:val="left" w:pos="8391"/>
        </w:tabs>
        <w:kinsoku/>
        <w:wordWrap/>
        <w:overflowPunct/>
        <w:topLinePunct w:val="0"/>
        <w:autoSpaceDE w:val="0"/>
        <w:autoSpaceDN w:val="0"/>
        <w:bidi w:val="0"/>
        <w:snapToGrid/>
        <w:spacing w:line="360" w:lineRule="auto"/>
        <w:ind w:left="0" w:leftChars="0" w:right="0" w:rightChars="0" w:firstLine="480" w:firstLineChars="200"/>
        <w:textAlignment w:val="bottom"/>
        <w:rPr>
          <w:rFonts w:ascii="宋体" w:hAnsi="宋体" w:eastAsia="宋体" w:cs="宋体"/>
        </w:rPr>
      </w:pPr>
      <w:r>
        <w:rPr>
          <w:rFonts w:hint="eastAsia" w:ascii="宋体" w:hAnsi="宋体" w:eastAsia="宋体" w:cs="宋体"/>
        </w:rPr>
        <w:t>3、合同经甲乙双方盖章、签字后生效，合同签订地点为</w:t>
      </w:r>
      <w:r>
        <w:rPr>
          <w:rFonts w:hint="eastAsia" w:ascii="宋体" w:hAnsi="宋体" w:eastAsia="宋体" w:cs="宋体"/>
          <w:u w:val="single"/>
        </w:rPr>
        <w:t xml:space="preserve">   </w:t>
      </w:r>
      <w:r>
        <w:rPr>
          <w:rFonts w:hint="eastAsia" w:ascii="宋体" w:hAnsi="宋体" w:eastAsia="宋体" w:cs="宋体"/>
        </w:rPr>
        <w:t>。</w:t>
      </w:r>
    </w:p>
    <w:p w14:paraId="0BF15358">
      <w:pPr>
        <w:keepLines w:val="0"/>
        <w:pageBreakBefore w:val="0"/>
        <w:widowControl/>
        <w:tabs>
          <w:tab w:val="left" w:pos="8391"/>
        </w:tabs>
        <w:kinsoku/>
        <w:wordWrap/>
        <w:overflowPunct/>
        <w:topLinePunct w:val="0"/>
        <w:autoSpaceDE w:val="0"/>
        <w:autoSpaceDN w:val="0"/>
        <w:bidi w:val="0"/>
        <w:snapToGrid/>
        <w:spacing w:line="360" w:lineRule="auto"/>
        <w:ind w:left="0" w:leftChars="0" w:right="0" w:rightChars="0" w:firstLine="480" w:firstLineChars="200"/>
        <w:textAlignment w:val="bottom"/>
        <w:rPr>
          <w:rFonts w:ascii="宋体" w:hAnsi="宋体" w:eastAsia="宋体" w:cs="宋体"/>
        </w:rPr>
      </w:pPr>
      <w:r>
        <w:rPr>
          <w:rFonts w:hint="eastAsia" w:ascii="宋体" w:hAnsi="宋体" w:eastAsia="宋体" w:cs="宋体"/>
        </w:rPr>
        <w:t>4、生效时间：   年  月  日</w:t>
      </w:r>
    </w:p>
    <w:p w14:paraId="14255765">
      <w:pPr>
        <w:pStyle w:val="4"/>
        <w:keepLines w:val="0"/>
        <w:pageBreakBefore w:val="0"/>
        <w:widowControl/>
        <w:kinsoku/>
        <w:wordWrap/>
        <w:overflowPunct/>
        <w:topLinePunct w:val="0"/>
        <w:bidi w:val="0"/>
        <w:snapToGrid/>
        <w:spacing w:line="360" w:lineRule="auto"/>
        <w:ind w:left="0" w:leftChars="0" w:right="0" w:rightChars="0" w:firstLine="480" w:firstLineChars="200"/>
        <w:rPr>
          <w:rFonts w:hint="default" w:eastAsia="宋体"/>
          <w:sz w:val="24"/>
          <w:szCs w:val="24"/>
          <w:lang w:val="en-US" w:eastAsia="zh-CN"/>
        </w:rPr>
      </w:pPr>
      <w:r>
        <w:rPr>
          <w:rFonts w:hint="eastAsia"/>
          <w:sz w:val="24"/>
          <w:szCs w:val="24"/>
          <w:lang w:eastAsia="zh-CN"/>
        </w:rPr>
        <w:t>（</w:t>
      </w:r>
      <w:r>
        <w:rPr>
          <w:rFonts w:hint="eastAsia"/>
          <w:sz w:val="24"/>
          <w:szCs w:val="24"/>
          <w:lang w:val="en-US" w:eastAsia="zh-CN"/>
        </w:rPr>
        <w:t>以下无正文）</w:t>
      </w:r>
    </w:p>
    <w:p w14:paraId="5F78F950">
      <w:pPr>
        <w:keepLines w:val="0"/>
        <w:pageBreakBefore w:val="0"/>
        <w:widowControl/>
        <w:kinsoku/>
        <w:wordWrap/>
        <w:overflowPunct/>
        <w:topLinePunct w:val="0"/>
        <w:bidi w:val="0"/>
        <w:snapToGrid/>
        <w:spacing w:line="360" w:lineRule="auto"/>
        <w:ind w:left="0" w:leftChars="0" w:right="0" w:rightChars="0" w:firstLine="480" w:firstLineChars="200"/>
      </w:pPr>
    </w:p>
    <w:tbl>
      <w:tblPr>
        <w:tblStyle w:val="7"/>
        <w:tblW w:w="0" w:type="auto"/>
        <w:jc w:val="center"/>
        <w:tblLayout w:type="fixed"/>
        <w:tblCellMar>
          <w:top w:w="0" w:type="dxa"/>
          <w:left w:w="108" w:type="dxa"/>
          <w:bottom w:w="0" w:type="dxa"/>
          <w:right w:w="108" w:type="dxa"/>
        </w:tblCellMar>
      </w:tblPr>
      <w:tblGrid>
        <w:gridCol w:w="4643"/>
        <w:gridCol w:w="4643"/>
      </w:tblGrid>
      <w:tr w14:paraId="5E8B5C0C">
        <w:tblPrEx>
          <w:tblCellMar>
            <w:top w:w="0" w:type="dxa"/>
            <w:left w:w="108" w:type="dxa"/>
            <w:bottom w:w="0" w:type="dxa"/>
            <w:right w:w="108" w:type="dxa"/>
          </w:tblCellMar>
        </w:tblPrEx>
        <w:trPr>
          <w:jc w:val="center"/>
        </w:trPr>
        <w:tc>
          <w:tcPr>
            <w:tcW w:w="4643" w:type="dxa"/>
          </w:tcPr>
          <w:p w14:paraId="2CA7B947">
            <w:pPr>
              <w:keepLines w:val="0"/>
              <w:pageBreakBefore w:val="0"/>
              <w:widowControl/>
              <w:kinsoku/>
              <w:wordWrap/>
              <w:overflowPunct/>
              <w:topLinePunct w:val="0"/>
              <w:autoSpaceDE w:val="0"/>
              <w:autoSpaceDN w:val="0"/>
              <w:bidi w:val="0"/>
              <w:snapToGrid/>
              <w:spacing w:line="360" w:lineRule="auto"/>
              <w:ind w:left="0" w:leftChars="0" w:right="0" w:rightChars="0" w:firstLine="480" w:firstLineChars="200"/>
              <w:textAlignment w:val="bottom"/>
              <w:rPr>
                <w:rFonts w:ascii="宋体" w:hAnsi="宋体" w:eastAsia="宋体" w:cs="宋体"/>
              </w:rPr>
            </w:pPr>
            <w:r>
              <w:rPr>
                <w:rFonts w:hint="eastAsia" w:ascii="宋体" w:hAnsi="宋体" w:eastAsia="宋体" w:cs="宋体"/>
              </w:rPr>
              <w:t>甲方名称</w:t>
            </w:r>
            <w:r>
              <w:rPr>
                <w:rFonts w:hint="eastAsia" w:ascii="宋体" w:hAnsi="宋体" w:eastAsia="宋体" w:cs="宋体"/>
                <w:spacing w:val="-20"/>
              </w:rPr>
              <w:t>（盖章）</w:t>
            </w:r>
            <w:r>
              <w:rPr>
                <w:rFonts w:hint="eastAsia" w:ascii="宋体" w:hAnsi="宋体" w:eastAsia="宋体" w:cs="宋体"/>
              </w:rPr>
              <w:t>:</w:t>
            </w:r>
          </w:p>
          <w:p w14:paraId="0E38A1DA">
            <w:pPr>
              <w:keepLines w:val="0"/>
              <w:pageBreakBefore w:val="0"/>
              <w:widowControl/>
              <w:kinsoku/>
              <w:wordWrap/>
              <w:overflowPunct/>
              <w:topLinePunct w:val="0"/>
              <w:autoSpaceDE w:val="0"/>
              <w:autoSpaceDN w:val="0"/>
              <w:bidi w:val="0"/>
              <w:snapToGrid/>
              <w:spacing w:line="360" w:lineRule="auto"/>
              <w:ind w:left="0" w:leftChars="0" w:right="0" w:rightChars="0" w:firstLine="480" w:firstLineChars="200"/>
              <w:textAlignment w:val="bottom"/>
              <w:rPr>
                <w:rFonts w:ascii="宋体" w:hAnsi="宋体" w:eastAsia="宋体" w:cs="宋体"/>
              </w:rPr>
            </w:pPr>
            <w:r>
              <w:rPr>
                <w:rFonts w:hint="eastAsia" w:ascii="宋体" w:hAnsi="宋体" w:eastAsia="宋体" w:cs="宋体"/>
              </w:rPr>
              <w:t>地址：</w:t>
            </w:r>
          </w:p>
          <w:p w14:paraId="414FA558">
            <w:pPr>
              <w:keepLines w:val="0"/>
              <w:pageBreakBefore w:val="0"/>
              <w:widowControl/>
              <w:kinsoku/>
              <w:wordWrap/>
              <w:overflowPunct/>
              <w:topLinePunct w:val="0"/>
              <w:autoSpaceDE w:val="0"/>
              <w:autoSpaceDN w:val="0"/>
              <w:bidi w:val="0"/>
              <w:snapToGrid/>
              <w:spacing w:line="360" w:lineRule="auto"/>
              <w:ind w:left="0" w:leftChars="0" w:right="0" w:rightChars="0" w:firstLine="480" w:firstLineChars="200"/>
              <w:textAlignment w:val="bottom"/>
              <w:rPr>
                <w:rFonts w:ascii="宋体" w:hAnsi="宋体" w:eastAsia="宋体" w:cs="宋体"/>
              </w:rPr>
            </w:pPr>
            <w:r>
              <w:rPr>
                <w:rFonts w:hint="eastAsia" w:ascii="宋体" w:hAnsi="宋体" w:eastAsia="宋体" w:cs="宋体"/>
              </w:rPr>
              <w:t>代表人（签字）：</w:t>
            </w:r>
          </w:p>
          <w:p w14:paraId="1524CBC5">
            <w:pPr>
              <w:keepLines w:val="0"/>
              <w:pageBreakBefore w:val="0"/>
              <w:widowControl/>
              <w:kinsoku/>
              <w:wordWrap/>
              <w:overflowPunct/>
              <w:topLinePunct w:val="0"/>
              <w:autoSpaceDE w:val="0"/>
              <w:autoSpaceDN w:val="0"/>
              <w:bidi w:val="0"/>
              <w:snapToGrid/>
              <w:spacing w:line="360" w:lineRule="auto"/>
              <w:ind w:left="0" w:leftChars="0" w:right="0" w:rightChars="0" w:firstLine="480" w:firstLineChars="200"/>
              <w:textAlignment w:val="bottom"/>
              <w:rPr>
                <w:rFonts w:ascii="宋体" w:hAnsi="宋体" w:eastAsia="宋体" w:cs="宋体"/>
              </w:rPr>
            </w:pPr>
            <w:r>
              <w:rPr>
                <w:rFonts w:hint="eastAsia" w:ascii="宋体" w:hAnsi="宋体" w:eastAsia="宋体" w:cs="宋体"/>
              </w:rPr>
              <w:t>电话：</w:t>
            </w:r>
          </w:p>
          <w:p w14:paraId="7EA710DB">
            <w:pPr>
              <w:keepLines w:val="0"/>
              <w:pageBreakBefore w:val="0"/>
              <w:widowControl/>
              <w:kinsoku/>
              <w:wordWrap/>
              <w:overflowPunct/>
              <w:topLinePunct w:val="0"/>
              <w:autoSpaceDE w:val="0"/>
              <w:autoSpaceDN w:val="0"/>
              <w:bidi w:val="0"/>
              <w:snapToGrid/>
              <w:spacing w:line="360" w:lineRule="auto"/>
              <w:ind w:left="0" w:leftChars="0" w:right="0" w:rightChars="0" w:firstLine="480" w:firstLineChars="200"/>
              <w:textAlignment w:val="bottom"/>
              <w:rPr>
                <w:rFonts w:ascii="宋体" w:hAnsi="宋体" w:eastAsia="宋体" w:cs="宋体"/>
              </w:rPr>
            </w:pPr>
            <w:r>
              <w:rPr>
                <w:rFonts w:hint="eastAsia" w:ascii="宋体" w:hAnsi="宋体" w:eastAsia="宋体" w:cs="宋体"/>
              </w:rPr>
              <w:t>开户银行：</w:t>
            </w:r>
          </w:p>
          <w:p w14:paraId="16A27427">
            <w:pPr>
              <w:keepLines w:val="0"/>
              <w:pageBreakBefore w:val="0"/>
              <w:widowControl/>
              <w:kinsoku/>
              <w:wordWrap/>
              <w:overflowPunct/>
              <w:topLinePunct w:val="0"/>
              <w:autoSpaceDE w:val="0"/>
              <w:autoSpaceDN w:val="0"/>
              <w:bidi w:val="0"/>
              <w:snapToGrid/>
              <w:spacing w:line="360" w:lineRule="auto"/>
              <w:ind w:left="0" w:leftChars="0" w:right="0" w:rightChars="0" w:firstLine="480" w:firstLineChars="200"/>
              <w:textAlignment w:val="bottom"/>
              <w:rPr>
                <w:rFonts w:ascii="宋体" w:hAnsi="宋体" w:eastAsia="宋体" w:cs="宋体"/>
              </w:rPr>
            </w:pPr>
            <w:r>
              <w:rPr>
                <w:rFonts w:hint="eastAsia" w:ascii="宋体" w:hAnsi="宋体" w:eastAsia="宋体" w:cs="宋体"/>
              </w:rPr>
              <w:t>帐号：</w:t>
            </w:r>
          </w:p>
        </w:tc>
        <w:tc>
          <w:tcPr>
            <w:tcW w:w="4643" w:type="dxa"/>
          </w:tcPr>
          <w:p w14:paraId="73984EBC">
            <w:pPr>
              <w:keepLines w:val="0"/>
              <w:pageBreakBefore w:val="0"/>
              <w:widowControl/>
              <w:kinsoku/>
              <w:wordWrap/>
              <w:overflowPunct/>
              <w:topLinePunct w:val="0"/>
              <w:autoSpaceDE w:val="0"/>
              <w:autoSpaceDN w:val="0"/>
              <w:bidi w:val="0"/>
              <w:snapToGrid/>
              <w:spacing w:line="360" w:lineRule="auto"/>
              <w:ind w:left="0" w:leftChars="0" w:right="0" w:rightChars="0" w:firstLine="480" w:firstLineChars="200"/>
              <w:textAlignment w:val="bottom"/>
              <w:rPr>
                <w:rFonts w:ascii="宋体" w:hAnsi="宋体" w:eastAsia="宋体" w:cs="宋体"/>
              </w:rPr>
            </w:pPr>
            <w:r>
              <w:rPr>
                <w:rFonts w:hint="eastAsia" w:ascii="宋体" w:hAnsi="宋体" w:eastAsia="宋体" w:cs="宋体"/>
              </w:rPr>
              <w:t>乙方名称</w:t>
            </w:r>
            <w:r>
              <w:rPr>
                <w:rFonts w:hint="eastAsia" w:ascii="宋体" w:hAnsi="宋体" w:eastAsia="宋体" w:cs="宋体"/>
                <w:spacing w:val="-20"/>
              </w:rPr>
              <w:t>（盖章）</w:t>
            </w:r>
            <w:r>
              <w:rPr>
                <w:rFonts w:hint="eastAsia" w:ascii="宋体" w:hAnsi="宋体" w:eastAsia="宋体" w:cs="宋体"/>
              </w:rPr>
              <w:t>:</w:t>
            </w:r>
          </w:p>
          <w:p w14:paraId="56DF5488">
            <w:pPr>
              <w:keepLines w:val="0"/>
              <w:pageBreakBefore w:val="0"/>
              <w:widowControl/>
              <w:kinsoku/>
              <w:wordWrap/>
              <w:overflowPunct/>
              <w:topLinePunct w:val="0"/>
              <w:autoSpaceDE w:val="0"/>
              <w:autoSpaceDN w:val="0"/>
              <w:bidi w:val="0"/>
              <w:snapToGrid/>
              <w:spacing w:line="360" w:lineRule="auto"/>
              <w:ind w:left="0" w:leftChars="0" w:right="0" w:rightChars="0" w:firstLine="480" w:firstLineChars="200"/>
              <w:textAlignment w:val="bottom"/>
              <w:rPr>
                <w:rFonts w:ascii="宋体" w:hAnsi="宋体" w:eastAsia="宋体" w:cs="宋体"/>
              </w:rPr>
            </w:pPr>
            <w:r>
              <w:rPr>
                <w:rFonts w:hint="eastAsia" w:ascii="宋体" w:hAnsi="宋体" w:eastAsia="宋体" w:cs="宋体"/>
              </w:rPr>
              <w:t>地址：</w:t>
            </w:r>
          </w:p>
          <w:p w14:paraId="00065BBD">
            <w:pPr>
              <w:keepLines w:val="0"/>
              <w:pageBreakBefore w:val="0"/>
              <w:widowControl/>
              <w:kinsoku/>
              <w:wordWrap/>
              <w:overflowPunct/>
              <w:topLinePunct w:val="0"/>
              <w:autoSpaceDE w:val="0"/>
              <w:autoSpaceDN w:val="0"/>
              <w:bidi w:val="0"/>
              <w:snapToGrid/>
              <w:spacing w:line="360" w:lineRule="auto"/>
              <w:ind w:left="0" w:leftChars="0" w:right="0" w:rightChars="0" w:firstLine="480" w:firstLineChars="200"/>
              <w:textAlignment w:val="bottom"/>
              <w:rPr>
                <w:rFonts w:ascii="宋体" w:hAnsi="宋体" w:eastAsia="宋体" w:cs="宋体"/>
              </w:rPr>
            </w:pPr>
            <w:r>
              <w:rPr>
                <w:rFonts w:hint="eastAsia" w:ascii="宋体" w:hAnsi="宋体" w:eastAsia="宋体" w:cs="宋体"/>
              </w:rPr>
              <w:t>代表人（签字）：</w:t>
            </w:r>
          </w:p>
          <w:p w14:paraId="67C74398">
            <w:pPr>
              <w:keepLines w:val="0"/>
              <w:pageBreakBefore w:val="0"/>
              <w:widowControl/>
              <w:kinsoku/>
              <w:wordWrap/>
              <w:overflowPunct/>
              <w:topLinePunct w:val="0"/>
              <w:autoSpaceDE w:val="0"/>
              <w:autoSpaceDN w:val="0"/>
              <w:bidi w:val="0"/>
              <w:snapToGrid/>
              <w:spacing w:line="360" w:lineRule="auto"/>
              <w:ind w:left="0" w:leftChars="0" w:right="0" w:rightChars="0" w:firstLine="480" w:firstLineChars="200"/>
              <w:textAlignment w:val="bottom"/>
              <w:rPr>
                <w:rFonts w:ascii="宋体" w:hAnsi="宋体" w:eastAsia="宋体" w:cs="宋体"/>
              </w:rPr>
            </w:pPr>
            <w:r>
              <w:rPr>
                <w:rFonts w:hint="eastAsia" w:ascii="宋体" w:hAnsi="宋体" w:eastAsia="宋体" w:cs="宋体"/>
              </w:rPr>
              <w:t>电话：</w:t>
            </w:r>
          </w:p>
          <w:p w14:paraId="70E77F02">
            <w:pPr>
              <w:keepLines w:val="0"/>
              <w:pageBreakBefore w:val="0"/>
              <w:widowControl/>
              <w:kinsoku/>
              <w:wordWrap/>
              <w:overflowPunct/>
              <w:topLinePunct w:val="0"/>
              <w:autoSpaceDE w:val="0"/>
              <w:autoSpaceDN w:val="0"/>
              <w:bidi w:val="0"/>
              <w:snapToGrid/>
              <w:spacing w:line="360" w:lineRule="auto"/>
              <w:ind w:left="0" w:leftChars="0" w:right="0" w:rightChars="0" w:firstLine="480" w:firstLineChars="200"/>
              <w:textAlignment w:val="bottom"/>
              <w:rPr>
                <w:rFonts w:ascii="宋体" w:hAnsi="宋体" w:eastAsia="宋体" w:cs="宋体"/>
              </w:rPr>
            </w:pPr>
            <w:r>
              <w:rPr>
                <w:rFonts w:hint="eastAsia" w:ascii="宋体" w:hAnsi="宋体" w:eastAsia="宋体" w:cs="宋体"/>
              </w:rPr>
              <w:t>开户银行：</w:t>
            </w:r>
          </w:p>
          <w:p w14:paraId="50F3F026">
            <w:pPr>
              <w:keepLines w:val="0"/>
              <w:pageBreakBefore w:val="0"/>
              <w:widowControl/>
              <w:kinsoku/>
              <w:wordWrap/>
              <w:overflowPunct/>
              <w:topLinePunct w:val="0"/>
              <w:autoSpaceDE w:val="0"/>
              <w:autoSpaceDN w:val="0"/>
              <w:bidi w:val="0"/>
              <w:snapToGrid/>
              <w:spacing w:line="360" w:lineRule="auto"/>
              <w:ind w:left="0" w:leftChars="0" w:right="0" w:rightChars="0" w:firstLine="480" w:firstLineChars="200"/>
              <w:textAlignment w:val="bottom"/>
              <w:rPr>
                <w:rFonts w:ascii="宋体" w:hAnsi="宋体" w:eastAsia="宋体" w:cs="宋体"/>
              </w:rPr>
            </w:pPr>
            <w:r>
              <w:rPr>
                <w:rFonts w:hint="eastAsia" w:ascii="宋体" w:hAnsi="宋体" w:eastAsia="宋体" w:cs="宋体"/>
              </w:rPr>
              <w:t>帐号：</w:t>
            </w:r>
          </w:p>
        </w:tc>
      </w:tr>
    </w:tbl>
    <w:p w14:paraId="1D91F23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Calibri Light">
    <w:panose1 w:val="020F03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4132C2"/>
    <w:multiLevelType w:val="multilevel"/>
    <w:tmpl w:val="6D4132C2"/>
    <w:lvl w:ilvl="0" w:tentative="0">
      <w:start w:val="1"/>
      <w:numFmt w:val="none"/>
      <w:suff w:val="nothing"/>
      <w:lvlText w:val=""/>
      <w:lvlJc w:val="center"/>
      <w:pPr>
        <w:ind w:left="0" w:firstLine="0"/>
      </w:pPr>
      <w:rPr>
        <w:rFonts w:hint="default" w:ascii="Calibri" w:hAnsi="Calibri" w:eastAsia="黑体"/>
        <w:b w:val="0"/>
        <w:i w:val="0"/>
        <w:caps w:val="0"/>
        <w:strike w:val="0"/>
        <w:dstrike w:val="0"/>
        <w:snapToGrid/>
        <w:vanish w:val="0"/>
        <w:spacing w:val="0"/>
        <w:w w:val="100"/>
        <w:kern w:val="44"/>
        <w:position w:val="0"/>
        <w:sz w:val="32"/>
        <w:vertAlign w:val="baseline"/>
      </w:rPr>
    </w:lvl>
    <w:lvl w:ilvl="1" w:tentative="0">
      <w:start w:val="1"/>
      <w:numFmt w:val="none"/>
      <w:pStyle w:val="2"/>
      <w:suff w:val="nothing"/>
      <w:lvlText w:val=""/>
      <w:lvlJc w:val="left"/>
      <w:pPr>
        <w:ind w:left="0" w:firstLine="0"/>
      </w:pPr>
      <w:rPr>
        <w:rFonts w:hint="default" w:ascii="Calibri" w:hAnsi="Calibri" w:eastAsia="黑体"/>
        <w:b w:val="0"/>
        <w:i w:val="0"/>
        <w:caps w:val="0"/>
        <w:strike w:val="0"/>
        <w:dstrike w:val="0"/>
        <w:snapToGrid/>
        <w:vanish w:val="0"/>
        <w:spacing w:val="0"/>
        <w:w w:val="100"/>
        <w:kern w:val="32"/>
        <w:position w:val="0"/>
        <w:sz w:val="32"/>
        <w:vertAlign w:val="baseline"/>
      </w:rPr>
    </w:lvl>
    <w:lvl w:ilvl="2" w:tentative="0">
      <w:start w:val="1"/>
      <w:numFmt w:val="none"/>
      <w:suff w:val="nothing"/>
      <w:lvlText w:val=""/>
      <w:lvlJc w:val="left"/>
      <w:pPr>
        <w:ind w:left="0" w:firstLine="289"/>
      </w:pPr>
      <w:rPr>
        <w:rFonts w:hint="default" w:ascii="Calibri Light" w:hAnsi="Calibri Light" w:eastAsia="宋体"/>
        <w:b/>
        <w:i w:val="0"/>
        <w:caps w:val="0"/>
        <w:strike w:val="0"/>
        <w:dstrike w:val="0"/>
        <w:snapToGrid/>
        <w:vanish w:val="0"/>
        <w:spacing w:val="0"/>
        <w:w w:val="100"/>
        <w:kern w:val="30"/>
        <w:position w:val="0"/>
        <w:sz w:val="30"/>
        <w:vertAlign w:val="baseline"/>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E7418B"/>
    <w:rsid w:val="5D71640D"/>
    <w:rsid w:val="74CE11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paragraph" w:styleId="2">
    <w:name w:val="heading 2"/>
    <w:basedOn w:val="1"/>
    <w:next w:val="3"/>
    <w:unhideWhenUsed/>
    <w:qFormat/>
    <w:uiPriority w:val="9"/>
    <w:pPr>
      <w:keepNext/>
      <w:numPr>
        <w:ilvl w:val="1"/>
        <w:numId w:val="1"/>
      </w:numPr>
      <w:spacing w:before="120" w:after="60"/>
      <w:outlineLvl w:val="1"/>
    </w:pPr>
    <w:rPr>
      <w:rFonts w:ascii="Calibri" w:hAnsi="Calibri" w:eastAsia="黑体" w:cstheme="majorBidi"/>
      <w:bCs/>
      <w:iCs/>
      <w:kern w:val="32"/>
      <w:sz w:val="28"/>
      <w:szCs w:val="28"/>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autoSpaceDE w:val="0"/>
      <w:autoSpaceDN w:val="0"/>
      <w:adjustRightInd w:val="0"/>
      <w:spacing w:line="640" w:lineRule="exact"/>
      <w:ind w:firstLine="585"/>
    </w:pPr>
    <w:rPr>
      <w:rFonts w:ascii="楷体_GB2312" w:eastAsia="楷体_GB2312"/>
      <w:sz w:val="32"/>
      <w:szCs w:val="32"/>
    </w:rPr>
  </w:style>
  <w:style w:type="paragraph" w:styleId="4">
    <w:name w:val="Body Text"/>
    <w:basedOn w:val="1"/>
    <w:qFormat/>
    <w:uiPriority w:val="1"/>
    <w:rPr>
      <w:rFonts w:ascii="宋体" w:hAnsi="宋体" w:eastAsia="宋体" w:cs="宋体"/>
      <w:sz w:val="21"/>
      <w:szCs w:val="21"/>
    </w:rPr>
  </w:style>
  <w:style w:type="paragraph" w:styleId="5">
    <w:name w:val="Body Text Indent"/>
    <w:basedOn w:val="1"/>
    <w:uiPriority w:val="0"/>
    <w:pPr>
      <w:spacing w:after="120" w:afterLines="0" w:afterAutospacing="0"/>
      <w:ind w:left="420" w:leftChars="200"/>
    </w:pPr>
  </w:style>
  <w:style w:type="paragraph" w:styleId="6">
    <w:name w:val="Body Text First Indent 2"/>
    <w:basedOn w:val="5"/>
    <w:uiPriority w:val="0"/>
    <w:pPr>
      <w:ind w:firstLine="420" w:firstLineChars="200"/>
    </w:pPr>
  </w:style>
  <w:style w:type="paragraph" w:customStyle="1" w:styleId="9">
    <w:name w:val="@正文"/>
    <w:basedOn w:val="10"/>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10">
    <w:name w:val="※正文"/>
    <w:basedOn w:val="1"/>
    <w:next w:val="1"/>
    <w:autoRedefine/>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2025-05-27T09:15:00Z</dcterms:created>
  <dc:creator>admin</dc:creator>
  <cp:lastModifiedBy>王龙飞</cp:lastModifiedBy>
  <dcterms:modified xsi:type="dcterms:W3CDTF">2025-09-17T09:29:08Z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46A69D626F9C43FBBE488D4450CB1D18_12</vt:lpwstr>
  </property>
  <property fmtid="{D5CDD505-2E9C-101B-9397-08002B2CF9AE}" pid="4" name="KSOTemplateDocerSaveRecord">
    <vt:lpwstr>eyJoZGlkIjoiY2RmNjIzZTI1Nzk3MDI4Zjk2MDg3Y2FkOGZjMmQ5MDkiLCJ1c2VySWQiOiI2MzU2MzM5MTIifQ==</vt:lpwstr>
  </property>
</Properties>
</file>