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版本号：ZXGJLTFGS-2025-00320250919001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西安市临潼区西泉街道片区农村生活污水治理项目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ZXGJLTFGS-2025-003</w:t>
      </w:r>
      <w:r>
        <w:br/>
      </w:r>
      <w:r>
        <w:br/>
      </w:r>
      <w:r>
        <w:br/>
      </w:r>
    </w:p>
    <w:p>
      <w:pPr>
        <w:pStyle w:val="null3"/>
        <w:jc w:val="center"/>
        <w:outlineLvl w:val="2"/>
      </w:pPr>
      <w:r>
        <w:rPr>
          <w:rFonts w:ascii="仿宋_GB2312" w:hAnsi="仿宋_GB2312" w:cs="仿宋_GB2312" w:eastAsia="仿宋_GB2312"/>
          <w:sz w:val="28"/>
          <w:b/>
        </w:rPr>
        <w:t>临潼区西泉街道办事处</w:t>
      </w:r>
    </w:p>
    <w:p>
      <w:pPr>
        <w:pStyle w:val="null3"/>
        <w:jc w:val="center"/>
        <w:outlineLvl w:val="2"/>
      </w:pPr>
      <w:r>
        <w:rPr>
          <w:rFonts w:ascii="仿宋_GB2312" w:hAnsi="仿宋_GB2312" w:cs="仿宋_GB2312" w:eastAsia="仿宋_GB2312"/>
          <w:sz w:val="28"/>
          <w:b/>
        </w:rPr>
        <w:t>中昕国际项目管理有限公司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中昕国际项目管理有限公司</w:t>
      </w:r>
      <w:r>
        <w:rPr>
          <w:rFonts w:ascii="仿宋_GB2312" w:hAnsi="仿宋_GB2312" w:cs="仿宋_GB2312" w:eastAsia="仿宋_GB2312"/>
        </w:rPr>
        <w:t>（以下简称“代理机构”）受</w:t>
      </w:r>
      <w:r>
        <w:rPr>
          <w:rFonts w:ascii="仿宋_GB2312" w:hAnsi="仿宋_GB2312" w:cs="仿宋_GB2312" w:eastAsia="仿宋_GB2312"/>
        </w:rPr>
        <w:t>临潼区西泉街道办事处</w:t>
      </w:r>
      <w:r>
        <w:rPr>
          <w:rFonts w:ascii="仿宋_GB2312" w:hAnsi="仿宋_GB2312" w:cs="仿宋_GB2312" w:eastAsia="仿宋_GB2312"/>
        </w:rPr>
        <w:t>委托，拟对</w:t>
      </w:r>
      <w:r>
        <w:rPr>
          <w:rFonts w:ascii="仿宋_GB2312" w:hAnsi="仿宋_GB2312" w:cs="仿宋_GB2312" w:eastAsia="仿宋_GB2312"/>
        </w:rPr>
        <w:t>西安市临潼区西泉街道片区农村生活污水治理项目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ZXGJLTFGS-2025-003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西安市临潼区西泉街道片区农村生活污水治理项目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本次收集临潼区西泉街道的生活污水，服务人口共计117户。本次新建污水收集管网，收集后统一纳入现运行的西泉污水站进行集中处理。 项目新建DN300(HDPE双壁波纹管)污水收集管网总长度932m，新建DN400(HDPE双壁波纹管)污水收集管网总长度240m，预留接户管DN150长度1170m；新增成品钢筋混凝土检查井38座；混凝土路面拆除及恢复约1880m2，透水砖路面拆除及恢复约1771m2。</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采购包1（西安市临潼区西泉街道片区农村生活污水治理项目）：属于专门面向中小企业采购。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1、法定代表人授权书或身份证明：提供法定代表人授权书（附法定代表人、被授权人身份证复印件）（法定代表人直接参加磋商，须提供法定代表人身份证明）；非法人单位参照执行。</w:t>
      </w:r>
    </w:p>
    <w:p>
      <w:pPr>
        <w:pStyle w:val="null3"/>
      </w:pPr>
      <w:r>
        <w:rPr>
          <w:rFonts w:ascii="仿宋_GB2312" w:hAnsi="仿宋_GB2312" w:cs="仿宋_GB2312" w:eastAsia="仿宋_GB2312"/>
        </w:rPr>
        <w:t>2、供应商资质要求：供应商须具备建设行政主管部门颁发的市政公用工程施工总承包三级（含三级）以上资质，且具备有效的安全生产许可证。</w:t>
      </w:r>
    </w:p>
    <w:p>
      <w:pPr>
        <w:pStyle w:val="null3"/>
      </w:pPr>
      <w:r>
        <w:rPr>
          <w:rFonts w:ascii="仿宋_GB2312" w:hAnsi="仿宋_GB2312" w:cs="仿宋_GB2312" w:eastAsia="仿宋_GB2312"/>
        </w:rPr>
        <w:t>3、拟派项目负责人资质和专业要求：拟派项目经理具备市政公用工程二级及以上注册建造师证书和安全生产考核合格证（B证），且无在建工程（提供无在建工程承诺书）。</w:t>
      </w:r>
    </w:p>
    <w:p>
      <w:pPr>
        <w:pStyle w:val="null3"/>
      </w:pPr>
      <w:r>
        <w:rPr>
          <w:rFonts w:ascii="仿宋_GB2312" w:hAnsi="仿宋_GB2312" w:cs="仿宋_GB2312" w:eastAsia="仿宋_GB2312"/>
        </w:rPr>
        <w:t>4、供应商信用记录：供应商不得为“信用中国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临潼区西泉街道办事处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西泉街道</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710612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18292571213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中昕国际项目管理有限公司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西安经济技术开发区凤城十二路首创禧悦里25幢A座16层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高美娟、王超、王涛、李博飞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029-83938602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西安市临潼区政府采购管理股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马明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029-83825758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代理服务费收费标准：1、招标代理服务费分为招标代理费和造价咨询费，成交单位在领取成交通知书前一次性支付该费用。 （1）招标代理费金额以中标金额为基数参照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857号）、《国家发展改革委关于降低部分建设项目收费标准规范收费行为等有关问题的通知》（发改价格〔2011〕534号）的有关规定执行。 （2）造价咨询费以最高限价为基数参照《关于我省工程造价咨询服务收费标准有关问题的通知》陕价行发〔2014〕88号的有关规定执行。 2、招标代理服务费账户 名称：中昕国际项目管理有限公司临潼分公司 开户行：中国工商银行股份有限公司西安临潼区支行 账号：3700029209200213959</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临潼区西泉街道办事处</w:t>
      </w:r>
      <w:r>
        <w:rPr>
          <w:rFonts w:ascii="仿宋_GB2312" w:hAnsi="仿宋_GB2312" w:cs="仿宋_GB2312" w:eastAsia="仿宋_GB2312"/>
        </w:rPr>
        <w:t>和</w:t>
      </w:r>
      <w:r>
        <w:rPr>
          <w:rFonts w:ascii="仿宋_GB2312" w:hAnsi="仿宋_GB2312" w:cs="仿宋_GB2312" w:eastAsia="仿宋_GB2312"/>
        </w:rPr>
        <w:t>中昕国际项目管理有限公司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临潼区西泉街道办事处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中昕国际项目管理有限公司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临潼区西泉街道办事处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中昕国际项目管理有限公司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中昕国际项目管理有限公司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联系人：高美娟</w:t>
      </w:r>
    </w:p>
    <w:p>
      <w:pPr>
        <w:pStyle w:val="null3"/>
      </w:pPr>
      <w:r>
        <w:rPr>
          <w:rFonts w:ascii="仿宋_GB2312" w:hAnsi="仿宋_GB2312" w:cs="仿宋_GB2312" w:eastAsia="仿宋_GB2312"/>
        </w:rPr>
        <w:t>联系电话：029-83938602</w:t>
      </w:r>
    </w:p>
    <w:p>
      <w:pPr>
        <w:pStyle w:val="null3"/>
      </w:pPr>
      <w:r>
        <w:rPr>
          <w:rFonts w:ascii="仿宋_GB2312" w:hAnsi="仿宋_GB2312" w:cs="仿宋_GB2312" w:eastAsia="仿宋_GB2312"/>
        </w:rPr>
        <w:t>地址：西安市临潼区东关街与人民东路交叉口南100米建筑工程公司院内</w:t>
      </w:r>
    </w:p>
    <w:p>
      <w:pPr>
        <w:pStyle w:val="null3"/>
      </w:pPr>
      <w:r>
        <w:rPr>
          <w:rFonts w:ascii="仿宋_GB2312" w:hAnsi="仿宋_GB2312" w:cs="仿宋_GB2312" w:eastAsia="仿宋_GB2312"/>
        </w:rPr>
        <w:t>邮编：710600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1,999,957.67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临潼区西泉街道片区农村生活污水治理项目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标的名称：临潼区西泉街道片区农村生活污水治理项目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16"/>
                <w:b/>
                <w:color w:val="000000"/>
              </w:rPr>
              <w:t>一、项目概况</w:t>
            </w:r>
          </w:p>
          <w:p>
            <w:pPr>
              <w:pStyle w:val="null3"/>
              <w:ind w:firstLine="560"/>
              <w:jc w:val="both"/>
            </w:pPr>
            <w:r>
              <w:rPr>
                <w:rFonts w:ascii="仿宋_GB2312" w:hAnsi="仿宋_GB2312" w:cs="仿宋_GB2312" w:eastAsia="仿宋_GB2312"/>
                <w:sz w:val="16"/>
                <w:color w:val="333333"/>
              </w:rPr>
              <w:t>本次收集临潼区西泉街道的生活污水，服务人口共计117户。本次新建污水收集管网，收集后统一纳入现运行的西泉污水站进行集中处理。</w:t>
            </w:r>
          </w:p>
          <w:p>
            <w:pPr>
              <w:pStyle w:val="null3"/>
              <w:ind w:firstLine="560"/>
              <w:jc w:val="both"/>
            </w:pPr>
            <w:r>
              <w:rPr>
                <w:rFonts w:ascii="仿宋_GB2312" w:hAnsi="仿宋_GB2312" w:cs="仿宋_GB2312" w:eastAsia="仿宋_GB2312"/>
                <w:sz w:val="16"/>
                <w:color w:val="333333"/>
              </w:rPr>
              <w:t>项目新建DN300(HDPE双壁波纹管)污水收集管网总长度932m，新建DN400(HDPE双壁波纹管)污水收集管网总长度240m，预留接户管DN150长度1170m；新增成品钢筋混凝土检查井38座；混凝土路面拆除及恢复约1880m</w:t>
            </w:r>
            <w:r>
              <w:rPr>
                <w:rFonts w:ascii="仿宋_GB2312" w:hAnsi="仿宋_GB2312" w:cs="仿宋_GB2312" w:eastAsia="仿宋_GB2312"/>
                <w:sz w:val="16"/>
                <w:color w:val="333333"/>
                <w:vertAlign w:val="superscript"/>
              </w:rPr>
              <w:t>2</w:t>
            </w:r>
            <w:r>
              <w:rPr>
                <w:rFonts w:ascii="仿宋_GB2312" w:hAnsi="仿宋_GB2312" w:cs="仿宋_GB2312" w:eastAsia="仿宋_GB2312"/>
                <w:sz w:val="16"/>
                <w:color w:val="333333"/>
              </w:rPr>
              <w:t>，透水砖路面拆除及恢复约1771m</w:t>
            </w:r>
            <w:r>
              <w:rPr>
                <w:rFonts w:ascii="仿宋_GB2312" w:hAnsi="仿宋_GB2312" w:cs="仿宋_GB2312" w:eastAsia="仿宋_GB2312"/>
                <w:sz w:val="16"/>
                <w:color w:val="333333"/>
                <w:vertAlign w:val="superscript"/>
              </w:rPr>
              <w:t>2</w:t>
            </w:r>
            <w:r>
              <w:rPr>
                <w:rFonts w:ascii="仿宋_GB2312" w:hAnsi="仿宋_GB2312" w:cs="仿宋_GB2312" w:eastAsia="仿宋_GB2312"/>
                <w:sz w:val="16"/>
                <w:color w:val="333333"/>
              </w:rPr>
              <w:t>。</w:t>
            </w:r>
          </w:p>
          <w:p>
            <w:pPr>
              <w:pStyle w:val="null3"/>
              <w:jc w:val="left"/>
            </w:pPr>
            <w:r>
              <w:rPr>
                <w:rFonts w:ascii="仿宋_GB2312" w:hAnsi="仿宋_GB2312" w:cs="仿宋_GB2312" w:eastAsia="仿宋_GB2312"/>
                <w:sz w:val="16"/>
                <w:b/>
                <w:color w:val="000000"/>
              </w:rPr>
              <w:t>二、工程地点：</w:t>
            </w:r>
            <w:r>
              <w:rPr>
                <w:rFonts w:ascii="仿宋_GB2312" w:hAnsi="仿宋_GB2312" w:cs="仿宋_GB2312" w:eastAsia="仿宋_GB2312"/>
                <w:sz w:val="16"/>
                <w:color w:val="333333"/>
              </w:rPr>
              <w:t>临潼区西泉街道</w:t>
            </w:r>
          </w:p>
          <w:p>
            <w:pPr>
              <w:pStyle w:val="null3"/>
              <w:jc w:val="left"/>
            </w:pPr>
            <w:r>
              <w:rPr>
                <w:rFonts w:ascii="仿宋_GB2312" w:hAnsi="仿宋_GB2312" w:cs="仿宋_GB2312" w:eastAsia="仿宋_GB2312"/>
                <w:sz w:val="16"/>
                <w:b/>
                <w:color w:val="000000"/>
              </w:rPr>
              <w:t>三、计划工期：</w:t>
            </w:r>
            <w:r>
              <w:rPr>
                <w:rFonts w:ascii="仿宋_GB2312" w:hAnsi="仿宋_GB2312" w:cs="仿宋_GB2312" w:eastAsia="仿宋_GB2312"/>
                <w:sz w:val="16"/>
                <w:color w:val="000000"/>
              </w:rPr>
              <w:t>自合同签订之日起</w:t>
            </w:r>
            <w:r>
              <w:rPr>
                <w:rFonts w:ascii="仿宋_GB2312" w:hAnsi="仿宋_GB2312" w:cs="仿宋_GB2312" w:eastAsia="仿宋_GB2312"/>
                <w:sz w:val="16"/>
                <w:color w:val="000000"/>
              </w:rPr>
              <w:t>45</w:t>
            </w:r>
            <w:r>
              <w:rPr>
                <w:rFonts w:ascii="仿宋_GB2312" w:hAnsi="仿宋_GB2312" w:cs="仿宋_GB2312" w:eastAsia="仿宋_GB2312"/>
                <w:sz w:val="16"/>
                <w:color w:val="000000"/>
              </w:rPr>
              <w:t>个日历天</w:t>
            </w:r>
          </w:p>
          <w:p>
            <w:pPr>
              <w:pStyle w:val="null3"/>
              <w:spacing w:before="90"/>
              <w:jc w:val="left"/>
            </w:pPr>
            <w:r>
              <w:rPr>
                <w:rFonts w:ascii="仿宋_GB2312" w:hAnsi="仿宋_GB2312" w:cs="仿宋_GB2312" w:eastAsia="仿宋_GB2312"/>
                <w:sz w:val="16"/>
                <w:b/>
                <w:color w:val="000000"/>
              </w:rPr>
              <w:t>四</w:t>
            </w:r>
            <w:r>
              <w:rPr>
                <w:rFonts w:ascii="仿宋_GB2312" w:hAnsi="仿宋_GB2312" w:cs="仿宋_GB2312" w:eastAsia="仿宋_GB2312"/>
                <w:sz w:val="16"/>
                <w:b/>
                <w:color w:val="000000"/>
              </w:rPr>
              <w:t>、</w:t>
            </w:r>
            <w:r>
              <w:rPr>
                <w:rFonts w:ascii="仿宋_GB2312" w:hAnsi="仿宋_GB2312" w:cs="仿宋_GB2312" w:eastAsia="仿宋_GB2312"/>
                <w:sz w:val="16"/>
                <w:b/>
                <w:color w:val="000000"/>
              </w:rPr>
              <w:t>质保期：一年。</w:t>
            </w:r>
          </w:p>
          <w:p>
            <w:pPr>
              <w:pStyle w:val="null3"/>
              <w:spacing w:before="90"/>
              <w:jc w:val="left"/>
            </w:pPr>
            <w:r>
              <w:rPr>
                <w:rFonts w:ascii="仿宋_GB2312" w:hAnsi="仿宋_GB2312" w:cs="仿宋_GB2312" w:eastAsia="仿宋_GB2312"/>
                <w:sz w:val="16"/>
                <w:b/>
                <w:color w:val="000000"/>
              </w:rPr>
              <w:t>五、</w:t>
            </w:r>
            <w:r>
              <w:rPr>
                <w:rFonts w:ascii="仿宋_GB2312" w:hAnsi="仿宋_GB2312" w:cs="仿宋_GB2312" w:eastAsia="仿宋_GB2312"/>
                <w:sz w:val="16"/>
                <w:b/>
                <w:color w:val="000000"/>
              </w:rPr>
              <w:t>工程量清单和计价依据</w:t>
            </w:r>
          </w:p>
          <w:p>
            <w:pPr>
              <w:pStyle w:val="null3"/>
              <w:ind w:firstLine="456"/>
              <w:jc w:val="left"/>
            </w:pPr>
            <w:r>
              <w:rPr>
                <w:rFonts w:ascii="仿宋_GB2312" w:hAnsi="仿宋_GB2312" w:cs="仿宋_GB2312" w:eastAsia="仿宋_GB2312"/>
                <w:sz w:val="16"/>
                <w:color w:val="333333"/>
              </w:rPr>
              <w:t>（一）计价依据：</w:t>
            </w:r>
          </w:p>
          <w:p>
            <w:pPr>
              <w:pStyle w:val="null3"/>
              <w:ind w:firstLine="452"/>
              <w:jc w:val="left"/>
            </w:pPr>
            <w:r>
              <w:rPr>
                <w:rFonts w:ascii="仿宋_GB2312" w:hAnsi="仿宋_GB2312" w:cs="仿宋_GB2312" w:eastAsia="仿宋_GB2312"/>
                <w:sz w:val="16"/>
                <w:color w:val="333333"/>
              </w:rPr>
              <w:t>1、国家标准及行业标准相关图集；</w:t>
            </w:r>
          </w:p>
          <w:p>
            <w:pPr>
              <w:pStyle w:val="null3"/>
              <w:ind w:firstLine="452"/>
              <w:jc w:val="left"/>
            </w:pPr>
            <w:r>
              <w:rPr>
                <w:rFonts w:ascii="仿宋_GB2312" w:hAnsi="仿宋_GB2312" w:cs="仿宋_GB2312" w:eastAsia="仿宋_GB2312"/>
                <w:sz w:val="16"/>
                <w:color w:val="333333"/>
              </w:rPr>
              <w:t>2、该项目的设计施工图纸；</w:t>
            </w:r>
          </w:p>
          <w:p>
            <w:pPr>
              <w:pStyle w:val="null3"/>
              <w:ind w:firstLine="452"/>
              <w:jc w:val="left"/>
            </w:pPr>
            <w:r>
              <w:rPr>
                <w:rFonts w:ascii="仿宋_GB2312" w:hAnsi="仿宋_GB2312" w:cs="仿宋_GB2312" w:eastAsia="仿宋_GB2312"/>
                <w:sz w:val="16"/>
                <w:color w:val="333333"/>
              </w:rPr>
              <w:t>3、材料价格选用《临潼区工程造价信息》2025年7月及《陕西省工程造价管理信息》2025年7月或现行市场调查价格计算；</w:t>
            </w:r>
          </w:p>
          <w:p>
            <w:pPr>
              <w:pStyle w:val="null3"/>
              <w:ind w:firstLine="452"/>
              <w:jc w:val="left"/>
            </w:pPr>
            <w:r>
              <w:rPr>
                <w:rFonts w:ascii="仿宋_GB2312" w:hAnsi="仿宋_GB2312" w:cs="仿宋_GB2312" w:eastAsia="仿宋_GB2312"/>
                <w:sz w:val="16"/>
                <w:color w:val="333333"/>
              </w:rPr>
              <w:t>4、本工程采用现行：</w:t>
            </w:r>
          </w:p>
          <w:p>
            <w:pPr>
              <w:pStyle w:val="null3"/>
              <w:ind w:firstLine="452"/>
              <w:jc w:val="left"/>
            </w:pPr>
            <w:r>
              <w:rPr>
                <w:rFonts w:ascii="仿宋_GB2312" w:hAnsi="仿宋_GB2312" w:cs="仿宋_GB2312" w:eastAsia="仿宋_GB2312"/>
                <w:sz w:val="16"/>
                <w:color w:val="333333"/>
              </w:rPr>
              <w:t>《陕西省建设工程工程量清单计价计算标准（2025）》；</w:t>
            </w:r>
          </w:p>
          <w:p>
            <w:pPr>
              <w:pStyle w:val="null3"/>
              <w:ind w:firstLine="452"/>
              <w:jc w:val="left"/>
            </w:pPr>
            <w:r>
              <w:rPr>
                <w:rFonts w:ascii="仿宋_GB2312" w:hAnsi="仿宋_GB2312" w:cs="仿宋_GB2312" w:eastAsia="仿宋_GB2312"/>
                <w:sz w:val="16"/>
                <w:color w:val="333333"/>
              </w:rPr>
              <w:t>《陕西省市政工程基价表（2025）》；</w:t>
            </w:r>
          </w:p>
          <w:p>
            <w:pPr>
              <w:pStyle w:val="null3"/>
              <w:numPr>
                <w:ilvl w:val="0"/>
                <w:numId w:val="1"/>
              </w:numPr>
              <w:jc w:val="left"/>
            </w:pPr>
            <w:r>
              <w:rPr>
                <w:rFonts w:ascii="仿宋_GB2312" w:hAnsi="仿宋_GB2312" w:cs="仿宋_GB2312" w:eastAsia="仿宋_GB2312"/>
                <w:sz w:val="16"/>
                <w:color w:val="333333"/>
              </w:rPr>
              <w:t>人工费、各种费率及税金执行《陕西省建设工程费用规则（2025）》各项规定，本工程采用一般计税模式。</w:t>
            </w:r>
          </w:p>
          <w:p>
            <w:pPr>
              <w:pStyle w:val="null3"/>
              <w:ind w:firstLine="452"/>
              <w:jc w:val="left"/>
            </w:pPr>
            <w:r>
              <w:rPr>
                <w:rFonts w:ascii="仿宋_GB2312" w:hAnsi="仿宋_GB2312" w:cs="仿宋_GB2312" w:eastAsia="仿宋_GB2312"/>
                <w:sz w:val="16"/>
                <w:color w:val="333333"/>
              </w:rPr>
              <w:t>（二）、其他说明</w:t>
            </w:r>
          </w:p>
          <w:p>
            <w:pPr>
              <w:pStyle w:val="null3"/>
              <w:ind w:firstLine="452"/>
              <w:jc w:val="left"/>
            </w:pPr>
            <w:r>
              <w:rPr>
                <w:rFonts w:ascii="仿宋_GB2312" w:hAnsi="仿宋_GB2312" w:cs="仿宋_GB2312" w:eastAsia="仿宋_GB2312"/>
                <w:sz w:val="16"/>
                <w:color w:val="333333"/>
              </w:rPr>
              <w:t>1、该招标最高限价为含增值税工程造价；</w:t>
            </w:r>
          </w:p>
          <w:p>
            <w:pPr>
              <w:pStyle w:val="null3"/>
              <w:ind w:firstLine="452"/>
              <w:jc w:val="left"/>
            </w:pPr>
            <w:r>
              <w:rPr>
                <w:rFonts w:ascii="仿宋_GB2312" w:hAnsi="仿宋_GB2312" w:cs="仿宋_GB2312" w:eastAsia="仿宋_GB2312"/>
                <w:sz w:val="16"/>
                <w:color w:val="333333"/>
              </w:rPr>
              <w:t>2、编制软件：采用广联达云计价平台 GCCP7.0，内核版本： 7.5000.23.1。</w:t>
            </w:r>
          </w:p>
          <w:p>
            <w:pPr>
              <w:pStyle w:val="null3"/>
              <w:spacing w:before="90"/>
              <w:ind w:left="30"/>
              <w:jc w:val="left"/>
            </w:pPr>
            <w:r>
              <w:rPr>
                <w:rFonts w:ascii="仿宋_GB2312" w:hAnsi="仿宋_GB2312" w:cs="仿宋_GB2312" w:eastAsia="仿宋_GB2312"/>
                <w:sz w:val="16"/>
                <w:b/>
                <w:color w:val="000000"/>
              </w:rPr>
              <w:t>六</w:t>
            </w:r>
            <w:r>
              <w:rPr>
                <w:rFonts w:ascii="仿宋_GB2312" w:hAnsi="仿宋_GB2312" w:cs="仿宋_GB2312" w:eastAsia="仿宋_GB2312"/>
                <w:sz w:val="16"/>
                <w:b/>
                <w:color w:val="000000"/>
              </w:rPr>
              <w:t>、施工要求</w:t>
            </w:r>
          </w:p>
          <w:p>
            <w:pPr>
              <w:pStyle w:val="null3"/>
              <w:ind w:firstLine="560"/>
              <w:jc w:val="both"/>
            </w:pPr>
            <w:r>
              <w:rPr>
                <w:rFonts w:ascii="仿宋_GB2312" w:hAnsi="仿宋_GB2312" w:cs="仿宋_GB2312" w:eastAsia="仿宋_GB2312"/>
                <w:sz w:val="16"/>
                <w:color w:val="000000"/>
              </w:rPr>
              <w:t>在施工期间，中标供应商必须注意人员安全，加强安全措施，并定期对施工人员进行安全教育，且施工人员必须持证上岗。</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国家统计局 发改委 财政部 工信部联企业》中小企业划型标准（〔2011〕300号）规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 3、成交供应商在成交结果发布后3个工作日内无偿向代理机构提供纸质版响应文件三套，电子U盘二个（U盘内容包括Word版本、与系统上传后导出完全一致的PDF版响应文件）。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 （1）有效的主体资格证明：提供合格有效的法人或者其他组织的营业执照等证明文件，自然人的身份证明；供应商是法人或其他组织的应提供营业执照等证明文件，供应商是自然人的应提供有效的自然人身份证明； （2）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临财函〔2025〕199号《关于扩大政府采购供应商基本资格条件承诺制试点工作范围的通知》，供应商出具参加本次政府采购活动供应商资格条件承诺函（供应商未提供资格信用承诺函的，应当按照《中华人民共和国政府采购法》及其实施条例的相关规定提供相应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（1）单位负责人为同一人或者存在直接控股、管理关系的不同供应商不得参加同一合同项下的政府采购活动； （2）为本项目提供整体设计、规范编制或者项目管理、监理、检测等服务的供应商，不得再参加该采购项目的其他采购活动。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法定代表人授权书或身份证明</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提供法定代表人授权书（附法定代表人、被授权人身份证复印件）（法定代表人直接参加磋商，须提供法定代表人身份证明）；非法人单位参照执行。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供应商须具备建设行政主管部门颁发的市政公用工程施工总承包三级（含三级）以上资质，且具备有效的安全生产许可证。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拟派项目经理具备市政公用工程二级及以上注册建造师证书和安全生产考核合格证（B证），且无在建工程（提供无在建工程承诺书）。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供应商信用记录</w:t>
            </w:r>
          </w:p>
        </w:tc>
        <w:tc>
          <w:tcPr>
            <w:tcW w:type="dxa" w:w="3322"/>
          </w:tcPr>
          <w:p>
            <w:pPr>
              <w:pStyle w:val="null3"/>
            </w:pPr>
            <w:r>
              <w:rPr>
                <w:rFonts w:ascii="仿宋_GB2312" w:hAnsi="仿宋_GB2312" w:cs="仿宋_GB2312" w:eastAsia="仿宋_GB2312"/>
              </w:rPr>
              <w:t>供应商不得为“信用中国 (www.credit 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（1）响应文件的签署盖章：与所投项目名称、项目编号一致，且符合磋商文件签署盖章要求； （2）响应文件格式：符合磋商文件“第七章 响应文件格式”的规定 ； （3）报价唯一：只能有一个有效报价，不得提交选择性报价，且报价不超过磋商文件规定的采购预算金额及最高限价。</w:t>
            </w:r>
          </w:p>
        </w:tc>
        <w:tc>
          <w:tcPr>
            <w:tcW w:type="dxa" w:w="1661"/>
          </w:tcPr>
          <w:p>
            <w:pPr>
              <w:pStyle w:val="null3"/>
            </w:pPr>
            <w:r>
              <w:rPr>
                <w:rFonts w:ascii="仿宋_GB2312" w:hAnsi="仿宋_GB2312" w:cs="仿宋_GB2312" w:eastAsia="仿宋_GB2312"/>
              </w:rPr>
              <w:t>业绩一览表.docx 已标价工程量清单 中小企业声明函 施工组织设计.docx 资格证明文件.docx 响应文件封面 残疾人福利性单位声明函 报价函 标的清单 供应商拒绝政府采购领域商业贿赂承诺书.docx 响应函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工期、磋商有效期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工程质量、质保期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施工组织设计.docx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施工方案1</w:t>
            </w:r>
          </w:p>
        </w:tc>
        <w:tc>
          <w:tcPr>
            <w:tcW w:type="dxa" w:w="2492"/>
          </w:tcPr>
          <w:p>
            <w:pPr>
              <w:pStyle w:val="null3"/>
            </w:pPr>
            <w:r>
              <w:rPr>
                <w:rFonts w:ascii="仿宋_GB2312" w:hAnsi="仿宋_GB2312" w:cs="仿宋_GB2312" w:eastAsia="仿宋_GB2312"/>
              </w:rPr>
              <w:t>供应商针对本项目编制完善的施工部署及准备；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施工方案2</w:t>
            </w:r>
          </w:p>
        </w:tc>
        <w:tc>
          <w:tcPr>
            <w:tcW w:type="dxa" w:w="2492"/>
          </w:tcPr>
          <w:p>
            <w:pPr>
              <w:pStyle w:val="null3"/>
            </w:pPr>
            <w:r>
              <w:rPr>
                <w:rFonts w:ascii="仿宋_GB2312" w:hAnsi="仿宋_GB2312" w:cs="仿宋_GB2312" w:eastAsia="仿宋_GB2312"/>
              </w:rPr>
              <w:t>供应商针对本项目编制完善的分部分项施工方法； ①方案内容全面、具体、科学，可行性强，得6分； ②方案内容相对全面、具体、科学，可行性相对较强，得5分； ③方案内容基本全面、具体，有一定的可行性，得4分； ④方案内容不够全面、具体，可行性相对较弱，得3分； ⑤方案内容笼统，可行性有待考究的，得2分； ⑥方案内容不全面、具体，可行性较差，得1分；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确保项目质量的技术组织措施</w:t>
            </w:r>
          </w:p>
        </w:tc>
        <w:tc>
          <w:tcPr>
            <w:tcW w:type="dxa" w:w="2492"/>
          </w:tcPr>
          <w:p>
            <w:pPr>
              <w:pStyle w:val="null3"/>
            </w:pPr>
            <w:r>
              <w:rPr>
                <w:rFonts w:ascii="仿宋_GB2312" w:hAnsi="仿宋_GB2312" w:cs="仿宋_GB2312" w:eastAsia="仿宋_GB2312"/>
              </w:rPr>
              <w:t>针对本项目有确保项目质量的技术组织措施。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确保安全施工的技术组织措施</w:t>
            </w:r>
          </w:p>
        </w:tc>
        <w:tc>
          <w:tcPr>
            <w:tcW w:type="dxa" w:w="2492"/>
          </w:tcPr>
          <w:p>
            <w:pPr>
              <w:pStyle w:val="null3"/>
            </w:pPr>
            <w:r>
              <w:rPr>
                <w:rFonts w:ascii="仿宋_GB2312" w:hAnsi="仿宋_GB2312" w:cs="仿宋_GB2312" w:eastAsia="仿宋_GB2312"/>
              </w:rPr>
              <w:t>针对本项目有切实可行的确保安全施工的技术组织措施。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针对本项目有具体、可行的文明施工的技术组织措施。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确保环境保护的技术组织措施</w:t>
            </w:r>
          </w:p>
        </w:tc>
        <w:tc>
          <w:tcPr>
            <w:tcW w:type="dxa" w:w="2492"/>
          </w:tcPr>
          <w:p>
            <w:pPr>
              <w:pStyle w:val="null3"/>
            </w:pPr>
            <w:r>
              <w:rPr>
                <w:rFonts w:ascii="仿宋_GB2312" w:hAnsi="仿宋_GB2312" w:cs="仿宋_GB2312" w:eastAsia="仿宋_GB2312"/>
              </w:rPr>
              <w:t>针对本项目有具体、可行的环境保护的技术组织措施（包含治污减霾措施）。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针对本项目有具体、可行的确保工期的技术组织措施。 ①措施内容全面、具体、科学，可行性强，得6分； ②措施内容相对全面、具体、科学，可行性相对较强，得5分； ③措施内容基本全面、具体，有一定的可行性，得4分； ④措施内容不够全面、具体，可行性相对较弱，得3分； ⑤措施内容笼统，可行性有待考究的，得2分； ⑥措施内容不全面、具体，可行性较差，得1分；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根据本项目的具体情况，设置合理的进度控制点，制定周到、全面、具体的进度计划，能够充分考虑计划，均衡资源，满足工期和质量。 ①进度计划全面、科学、合理性强，得6分； ②进度计划相对全面、科学、合理性较强，得5分； ③进度计划基本全面、较科学、有一定的合理性，得4分； ④进度计划不够全面、科学、合理性相对较弱，得3分； ⑤进度计划笼统，合理性有待考究的，得2分； ⑥进度计划不全面、科学、合理性较差，得1分；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拟投入的主要设备及劳动力配备情况</w:t>
            </w:r>
          </w:p>
        </w:tc>
        <w:tc>
          <w:tcPr>
            <w:tcW w:type="dxa" w:w="2492"/>
          </w:tcPr>
          <w:p>
            <w:pPr>
              <w:pStyle w:val="null3"/>
            </w:pPr>
            <w:r>
              <w:rPr>
                <w:rFonts w:ascii="仿宋_GB2312" w:hAnsi="仿宋_GB2312" w:cs="仿宋_GB2312" w:eastAsia="仿宋_GB2312"/>
              </w:rPr>
              <w:t>①针对本项目拟投入的主要设备及劳动力配备情况，充足、完备、先进、可行的，得6分； ②针对本项目拟投入的主要设备及劳动力配备情况，较为先进、合理可行，得5分； ③针对本项目拟投入的主要设备及劳动力配备情况，相对先进、相对合理可行，得4分； ④针对本项目拟投入的主要设备及劳动力配备情况、设备及劳动力配备，较先进、基本合理可行，得3分； ⑤针对本项目拟投入的主要设备及劳动力配备情况，不够合理可行，得2分； ⑥针对本项目拟投入的主要设备及劳动力配备情况，不合理，需在采购人要求下完善后才能实施的，得1分；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项目管理机构组成</w:t>
            </w:r>
          </w:p>
        </w:tc>
        <w:tc>
          <w:tcPr>
            <w:tcW w:type="dxa" w:w="2492"/>
          </w:tcPr>
          <w:p>
            <w:pPr>
              <w:pStyle w:val="null3"/>
            </w:pPr>
            <w:r>
              <w:rPr>
                <w:rFonts w:ascii="仿宋_GB2312" w:hAnsi="仿宋_GB2312" w:cs="仿宋_GB2312" w:eastAsia="仿宋_GB2312"/>
              </w:rPr>
              <w:t>①针对本项目拟投入项目经理部组成人员结构合理，人员配备齐全，责任明确，佐证材料齐全得6分； ②针对本项目拟投入项目经理部组成人员结构相对合理，人员配备相对齐全，责任相对明确，有相关佐证材料得5分； ③针对本项目拟投入项目经理部组成人员结构基本合理，人员配备基本齐全，责任基本明确，有相关佐证材料得4分； ④针对本项目拟投入项目经理部组成人员结构不够合理，人员配备不够齐全，责任不太明确，相关佐证材料缺失得3分； ⑤针对本项目拟投入项目经理部组成人员内容笼统，可行性有待考究的，得2分； ⑥针对本项目拟投入项目经理部组成人员结构不合理，人员配备不齐全，责任不明确，相关佐证材料缺失得1分； ⑦无内容不得分。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业绩：供应商2022年1月至截标时间前同类施工项目业绩；每提供1份计2分，最高得10分。业绩证明（以合同或中标通知书为准，须在磋商响应文件中附以上证明材料的扫描件加盖单位公章，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2.满足磋商文件实质性要求且最终报价最低的供应商的价格为磋商基准价，其价格分为满分30分。 3.磋商报价得分=（磋商基准价/最终磋商报价）×30的公式计算得分。 4.磋商报价不完整的，不进入基准价的计算，本项得0分。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详见附件：已标价工程量清单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