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版本号：ZJXG202508420250922002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2025年第一批市级农业农村发展专项资金农产品质量安全项目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ZJXG2025084</w:t>
      </w:r>
      <w:r>
        <w:br/>
      </w:r>
      <w:r>
        <w:br/>
      </w:r>
      <w:r>
        <w:br/>
      </w:r>
    </w:p>
    <w:p>
      <w:pPr>
        <w:pStyle w:val="null3"/>
        <w:jc w:val="center"/>
        <w:outlineLvl w:val="2"/>
      </w:pPr>
      <w:r>
        <w:rPr>
          <w:rFonts w:ascii="仿宋_GB2312" w:hAnsi="仿宋_GB2312" w:cs="仿宋_GB2312" w:eastAsia="仿宋_GB2312"/>
          <w:sz w:val="28"/>
          <w:b/>
        </w:rPr>
        <w:t>西安市临潼区农产品质量安全检验监测中心</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西安市临潼区农产品质量安全检验监测中心</w:t>
      </w:r>
      <w:r>
        <w:rPr>
          <w:rFonts w:ascii="仿宋_GB2312" w:hAnsi="仿宋_GB2312" w:cs="仿宋_GB2312" w:eastAsia="仿宋_GB2312"/>
        </w:rPr>
        <w:t>委托，拟对</w:t>
      </w:r>
      <w:r>
        <w:rPr>
          <w:rFonts w:ascii="仿宋_GB2312" w:hAnsi="仿宋_GB2312" w:cs="仿宋_GB2312" w:eastAsia="仿宋_GB2312"/>
        </w:rPr>
        <w:t>2025年第一批市级农业农村发展专项资金农产品质量安全项目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ZJXG2025084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2025年第一批市级农业农村发展专项资金农产品质量安全项目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西安市临潼区农产品质量安全检验监测中心2025年第一批市级农业农村发展专项资金农产品质量安全项目，详见竞争性磋商文件。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采购包1（例行监测）：属于专门面向中小企业采购。</w:t>
      </w:r>
    </w:p>
    <w:p>
      <w:pPr>
        <w:pStyle w:val="null3"/>
      </w:pPr>
      <w:r>
        <w:rPr>
          <w:rFonts w:ascii="仿宋_GB2312" w:hAnsi="仿宋_GB2312" w:cs="仿宋_GB2312" w:eastAsia="仿宋_GB2312"/>
        </w:rPr>
        <w:t>采购包2（专项监测）：属于专门面向中小企业采购。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1、有效的资格证明主体：具有独立承担民事责任能力的法人、其他组织或自然人，并出具合法有效的相关证明材料。供应商需在项目电子化交易系统中按要求上传相应证明文件并进行电子签章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2023年或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3、税收缴纳证明：提供2025年至今已缴纳的1个月的纳税证明或完税证明，依法免税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参加磋商的，须提供法定代表人身份证；法定代表人授权本单位他人参加磋商的，须提供法定代表人授权委托书及被授权代表开标截止前三个月内任意一个月在本单位的社会保险缴纳证明，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9、其他要求：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10、企业资质：供应商须提供检验检测机构资质认定证书CMA（包含证书完整附表)及农产品质量安全检测机构考核合格证书CATL。供应商需在项目电子化交易系统中按要求上传相应证明文件并进行电子签章。</w:t>
      </w:r>
    </w:p>
    <w:p>
      <w:pPr>
        <w:pStyle w:val="null3"/>
      </w:pPr>
      <w:r>
        <w:rPr>
          <w:rFonts w:ascii="仿宋_GB2312" w:hAnsi="仿宋_GB2312" w:cs="仿宋_GB2312" w:eastAsia="仿宋_GB2312"/>
        </w:rPr>
        <w:t>11、中小企业：本合同包为专门面向中小企业采购（提供中小企业声明函或监狱企业的证明文件或残疾人福利性单位声明函）。供应商需在项目电子化交易系统中按要求上传相应证明文件并进行电子签章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12、联合体投标：本合同包不接受联合体投标，提供非联合体投标声明。供应商需在项目电子化交易系统中按要求上传相应证明文件并进行电子签章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2023年或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3、税收缴纳证明：提供2025年至今已缴纳的1个月的纳税证明或完税证明，依法免税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参加磋商的，须提供法定代表人身份证；法定代表人授权本单位他人参加磋商的，须提供法定代表人授权委托书及被授权代表开标截止前三个月内任意一个月在本单位的社会保险缴纳证明，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9、其他要求：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10、企业资质：供应商须提供检验检测机构资质认定证书CMA（包含证书完整附表)及农产品质量安全检测机构考核合格证书CATL。供应商需在项目电子化交易系统中按要求上传相应证明文件并进行电子签章。</w:t>
      </w:r>
    </w:p>
    <w:p>
      <w:pPr>
        <w:pStyle w:val="null3"/>
      </w:pPr>
      <w:r>
        <w:rPr>
          <w:rFonts w:ascii="仿宋_GB2312" w:hAnsi="仿宋_GB2312" w:cs="仿宋_GB2312" w:eastAsia="仿宋_GB2312"/>
        </w:rPr>
        <w:t>11、中小企业：本合同包为专门面向中小企业采购（提供中小企业声明函或监狱企业的证明文件或残疾人福利性单位声明函）。供应商需在项目电子化交易系统中按要求上传相应证明文件并进行电子签章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12、联合体投标：本合同包不接受联合体投标，提供非联合体投标声明。供应商需在项目电子化交易系统中按要求上传相应证明文件并进行电子签章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西安市临潼区农产品质量安全检验监测中心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临潼区秦陵街道陈沟村郑组党校东侧苗圃院内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临潼区农产品质量安全检验监测中心经办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029-83887207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曹增辉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采购包1：225,500.00元</w:t>
            </w:r>
          </w:p>
          <w:p>
            <w:pPr>
              <w:pStyle w:val="null3"/>
            </w:pPr>
            <w:r>
              <w:rPr>
                <w:rFonts w:ascii="仿宋_GB2312" w:hAnsi="仿宋_GB2312" w:cs="仿宋_GB2312" w:eastAsia="仿宋_GB2312"/>
              </w:rPr>
              <w:t>采购包2：100,000.00元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收费标准收取。 成交单位服务费交纳信息 银行户名：陕西中鉴项目管理有限公司 开户行：招商银行股份有限公司西安分行营业部 账号：129911072510777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西安市临潼区农产品质量安全检验监测中心</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西安市临潼区农产品质量安全检验监测中心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西安市临潼区农产品质量安全检验监测中心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按照竞争性磋商文件及成交供应商竞争性磋商响应文件进行履约验收。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按照竞争性磋商文件及成交供应商竞争性磋商响应文件进行履约验收。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联系人：曹增辉</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西安市临潼区农产品质量安全检验监测中心2025年第一批市级农业农村发展专项资金农产品质量安全项目，具体详见竞争性磋商文件。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225,500.00</w:t>
      </w:r>
    </w:p>
    <w:p>
      <w:pPr>
        <w:pStyle w:val="null3"/>
      </w:pPr>
      <w:r>
        <w:rPr>
          <w:rFonts w:ascii="仿宋_GB2312" w:hAnsi="仿宋_GB2312" w:cs="仿宋_GB2312" w:eastAsia="仿宋_GB2312"/>
        </w:rPr>
        <w:t>采购包最高限价（元）: 225,500.00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例行监测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225,500.00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专项监测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标的名称：例行监测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44"/>
                <w:b/>
              </w:rPr>
              <w:t>服务内容及要求</w:t>
            </w:r>
          </w:p>
          <w:p>
            <w:pPr>
              <w:pStyle w:val="null3"/>
              <w:ind w:firstLine="480"/>
              <w:jc w:val="both"/>
            </w:pP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采购内容</w:t>
            </w:r>
          </w:p>
          <w:p>
            <w:pPr>
              <w:pStyle w:val="null3"/>
              <w:ind w:firstLine="480"/>
              <w:jc w:val="both"/>
            </w:pPr>
            <w:r>
              <w:rPr>
                <w:rFonts w:ascii="仿宋_GB2312" w:hAnsi="仿宋_GB2312" w:cs="仿宋_GB2312" w:eastAsia="仿宋_GB2312"/>
                <w:sz w:val="24"/>
              </w:rPr>
              <w:t>临潼区农产品质量安全种植业定量检测及标准化项目，根据《农产品质量安全法》《农产品质量安全监测管理办法》规定，我区组织对全区主要种植业产品开展农产品农药残留定量检测，为确保高质量完成全年监测任务。为了掌握农产品质量安全状况和开展农产品质量安全风险评估，系统和持续地对影响农产品质量安全的有害因素进行检验、分析和评价的活动。</w:t>
            </w:r>
          </w:p>
          <w:p>
            <w:pPr>
              <w:pStyle w:val="null3"/>
              <w:ind w:firstLine="480"/>
              <w:jc w:val="both"/>
            </w:pPr>
            <w:r>
              <w:rPr>
                <w:rFonts w:ascii="仿宋_GB2312" w:hAnsi="仿宋_GB2312" w:cs="仿宋_GB2312" w:eastAsia="仿宋_GB2312"/>
                <w:sz w:val="24"/>
              </w:rPr>
              <w:t>二、服务要求</w:t>
            </w:r>
          </w:p>
          <w:p>
            <w:pPr>
              <w:pStyle w:val="null3"/>
              <w:ind w:firstLine="480"/>
              <w:jc w:val="both"/>
            </w:pPr>
            <w:r>
              <w:rPr>
                <w:rFonts w:ascii="仿宋_GB2312" w:hAnsi="仿宋_GB2312" w:cs="仿宋_GB2312" w:eastAsia="仿宋_GB2312"/>
                <w:sz w:val="24"/>
              </w:rPr>
              <w:t>要求具备资质证书的检测机构在服务期内、在甲方指定的工作范围对指定的产品按照规定的检测参数和方法，按照甲方采购需求出具结果报告并具有满足抽样和保持原始记录的条件和场所。</w:t>
            </w:r>
          </w:p>
          <w:p>
            <w:pPr>
              <w:pStyle w:val="null3"/>
              <w:ind w:firstLine="480"/>
              <w:jc w:val="both"/>
            </w:pPr>
            <w:r>
              <w:rPr>
                <w:rFonts w:ascii="仿宋_GB2312" w:hAnsi="仿宋_GB2312" w:cs="仿宋_GB2312" w:eastAsia="仿宋_GB2312"/>
                <w:sz w:val="24"/>
              </w:rPr>
              <w:t>1、工作范围</w:t>
            </w:r>
          </w:p>
          <w:p>
            <w:pPr>
              <w:pStyle w:val="null3"/>
              <w:ind w:firstLine="480"/>
              <w:jc w:val="both"/>
            </w:pPr>
            <w:r>
              <w:rPr>
                <w:rFonts w:ascii="仿宋_GB2312" w:hAnsi="仿宋_GB2312" w:cs="仿宋_GB2312" w:eastAsia="仿宋_GB2312"/>
                <w:sz w:val="24"/>
              </w:rPr>
              <w:t>（一）区域范围、数量及分包情况</w:t>
            </w:r>
          </w:p>
          <w:p>
            <w:pPr>
              <w:pStyle w:val="null3"/>
              <w:ind w:firstLine="480"/>
              <w:jc w:val="both"/>
            </w:pPr>
            <w:r>
              <w:rPr>
                <w:rFonts w:ascii="仿宋_GB2312" w:hAnsi="仿宋_GB2312" w:cs="仿宋_GB2312" w:eastAsia="仿宋_GB2312"/>
                <w:sz w:val="24"/>
              </w:rPr>
              <w:t>临潼区辖区内种植品，共抽检</w:t>
            </w:r>
            <w:r>
              <w:rPr>
                <w:rFonts w:ascii="仿宋_GB2312" w:hAnsi="仿宋_GB2312" w:cs="仿宋_GB2312" w:eastAsia="仿宋_GB2312"/>
                <w:sz w:val="24"/>
              </w:rPr>
              <w:t>451</w:t>
            </w:r>
            <w:r>
              <w:rPr>
                <w:rFonts w:ascii="仿宋_GB2312" w:hAnsi="仿宋_GB2312" w:cs="仿宋_GB2312" w:eastAsia="仿宋_GB2312"/>
                <w:sz w:val="24"/>
              </w:rPr>
              <w:t>批次农产品。</w:t>
            </w:r>
          </w:p>
          <w:p>
            <w:pPr>
              <w:pStyle w:val="null3"/>
              <w:ind w:firstLine="480"/>
              <w:jc w:val="both"/>
            </w:pPr>
            <w:r>
              <w:rPr>
                <w:rFonts w:ascii="仿宋_GB2312" w:hAnsi="仿宋_GB2312" w:cs="仿宋_GB2312" w:eastAsia="仿宋_GB2312"/>
                <w:sz w:val="24"/>
              </w:rPr>
              <w:t>（二）产品</w:t>
            </w:r>
            <w:r>
              <w:rPr>
                <w:rFonts w:ascii="仿宋_GB2312" w:hAnsi="仿宋_GB2312" w:cs="仿宋_GB2312" w:eastAsia="仿宋_GB2312"/>
                <w:sz w:val="24"/>
              </w:rPr>
              <w:t>种类</w:t>
            </w:r>
          </w:p>
          <w:p>
            <w:pPr>
              <w:pStyle w:val="null3"/>
              <w:ind w:firstLine="480"/>
              <w:jc w:val="both"/>
            </w:pPr>
            <w:r>
              <w:rPr>
                <w:rFonts w:ascii="仿宋_GB2312" w:hAnsi="仿宋_GB2312" w:cs="仿宋_GB2312" w:eastAsia="仿宋_GB2312"/>
                <w:sz w:val="24"/>
              </w:rPr>
              <w:t>1）蔬菜：依据我市农产品目录清单，重点监测生产环节的芹菜、菠菜、叶用莴苣、芫荽、茼蒿、普通白菜、大白菜、蕹菜、花椰菜、甘蓝、青花菜、菜薹、黄瓜、苦瓜、丝瓜、西葫芦、辣椒、番茄、茄子、豇豆、菜豆、食荚豌豆、蚕豆、扁豆、韭菜、大葱、细香葱、洋葱、大蒜、莲藕、茭白、萝卜、胡萝卜、马铃薯、山药、甘薯、生姜、黄花菜、芦笋、香椿、南瓜、冬瓜、蒜苗、芋、芥菜、茎用莴苣等品种。</w:t>
            </w:r>
          </w:p>
          <w:p>
            <w:pPr>
              <w:pStyle w:val="null3"/>
              <w:ind w:firstLine="480"/>
              <w:jc w:val="both"/>
            </w:pPr>
            <w:r>
              <w:rPr>
                <w:rFonts w:ascii="仿宋_GB2312" w:hAnsi="仿宋_GB2312" w:cs="仿宋_GB2312" w:eastAsia="仿宋_GB2312"/>
                <w:sz w:val="24"/>
              </w:rPr>
              <w:t>2）水 果：重点监测猕猴桃、草莓、樱桃、葡萄、西瓜、石榴、甜瓜、柿子、李、杏、梨、桃、枣等我市特色或小宗品种。</w:t>
            </w:r>
          </w:p>
          <w:p>
            <w:pPr>
              <w:pStyle w:val="null3"/>
              <w:ind w:firstLine="480"/>
              <w:jc w:val="both"/>
            </w:pPr>
            <w:r>
              <w:rPr>
                <w:rFonts w:ascii="仿宋_GB2312" w:hAnsi="仿宋_GB2312" w:cs="仿宋_GB2312" w:eastAsia="仿宋_GB2312"/>
                <w:sz w:val="24"/>
              </w:rPr>
              <w:t>3）食用菌：重点监测香菇、平菇、双孢蘑菇、金针菇、秀珍菇、黑木耳（含毛木耳）、银耳、茶树菇、杏鲍菇、草菇等品种，均为鲜品。</w:t>
            </w:r>
          </w:p>
          <w:p>
            <w:pPr>
              <w:pStyle w:val="null3"/>
              <w:ind w:firstLine="480"/>
              <w:jc w:val="both"/>
            </w:pPr>
            <w:r>
              <w:rPr>
                <w:rFonts w:ascii="仿宋_GB2312" w:hAnsi="仿宋_GB2312" w:cs="仿宋_GB2312" w:eastAsia="仿宋_GB2312"/>
                <w:sz w:val="24"/>
              </w:rPr>
              <w:t>4）专项监测品种：芹菜、桃、猕猴桃，葡萄。</w:t>
            </w:r>
          </w:p>
          <w:p>
            <w:pPr>
              <w:pStyle w:val="null3"/>
              <w:ind w:firstLine="480"/>
              <w:jc w:val="both"/>
            </w:pPr>
            <w:r>
              <w:rPr>
                <w:rFonts w:ascii="仿宋_GB2312" w:hAnsi="仿宋_GB2312" w:cs="仿宋_GB2312" w:eastAsia="仿宋_GB2312"/>
                <w:sz w:val="24"/>
              </w:rPr>
              <w:t>2、抽样及检测要求</w:t>
            </w:r>
          </w:p>
          <w:p>
            <w:pPr>
              <w:pStyle w:val="null3"/>
              <w:ind w:firstLine="480"/>
              <w:jc w:val="both"/>
            </w:pPr>
            <w:r>
              <w:rPr>
                <w:rFonts w:ascii="仿宋_GB2312" w:hAnsi="仿宋_GB2312" w:cs="仿宋_GB2312" w:eastAsia="仿宋_GB2312"/>
                <w:sz w:val="24"/>
              </w:rPr>
              <w:t>（一）抽样要求</w:t>
            </w:r>
          </w:p>
          <w:p>
            <w:pPr>
              <w:pStyle w:val="null3"/>
              <w:ind w:firstLine="480"/>
              <w:jc w:val="both"/>
            </w:pPr>
            <w:r>
              <w:rPr>
                <w:rFonts w:ascii="仿宋_GB2312" w:hAnsi="仿宋_GB2312" w:cs="仿宋_GB2312" w:eastAsia="仿宋_GB2312"/>
                <w:sz w:val="24"/>
              </w:rPr>
              <w:t>应有满足农产品抽样的专用车辆和不少于</w:t>
            </w:r>
            <w:r>
              <w:rPr>
                <w:rFonts w:ascii="仿宋_GB2312" w:hAnsi="仿宋_GB2312" w:cs="仿宋_GB2312" w:eastAsia="仿宋_GB2312"/>
                <w:sz w:val="24"/>
              </w:rPr>
              <w:t>2个的专业抽样人员，严格按照NY/T 789-2004《农药残留分析样本的采样方法》执行，确保当天完成抽样并到达实验室，抽样时应采集现场影像等信息并记录，并有能力保障样品在储存、运输过程有效防护，样品确保可追溯。样品制备三份（检测样、备份样、复检样），每份300-400克。</w:t>
            </w:r>
          </w:p>
          <w:p>
            <w:pPr>
              <w:pStyle w:val="null3"/>
              <w:ind w:firstLine="480"/>
              <w:jc w:val="both"/>
            </w:pPr>
            <w:r>
              <w:rPr>
                <w:rFonts w:ascii="仿宋_GB2312" w:hAnsi="仿宋_GB2312" w:cs="仿宋_GB2312" w:eastAsia="仿宋_GB2312"/>
                <w:sz w:val="24"/>
              </w:rPr>
              <w:t>（二）检测参数、方法及判定依据</w:t>
            </w:r>
          </w:p>
          <w:p>
            <w:pPr>
              <w:pStyle w:val="null3"/>
              <w:ind w:firstLine="480"/>
              <w:jc w:val="both"/>
            </w:pPr>
            <w:r>
              <w:rPr>
                <w:rFonts w:ascii="仿宋_GB2312" w:hAnsi="仿宋_GB2312" w:cs="仿宋_GB2312" w:eastAsia="仿宋_GB2312"/>
                <w:sz w:val="24"/>
              </w:rPr>
              <w:t>检测参数和检测方法严格按下表要求进行，每批次共检测</w:t>
            </w:r>
            <w:r>
              <w:rPr>
                <w:rFonts w:ascii="仿宋_GB2312" w:hAnsi="仿宋_GB2312" w:cs="仿宋_GB2312" w:eastAsia="仿宋_GB2312"/>
                <w:sz w:val="24"/>
              </w:rPr>
              <w:t>70种农药参数，选择对应合适的检测方法。</w:t>
            </w:r>
          </w:p>
          <w:p>
            <w:pPr>
              <w:pStyle w:val="null3"/>
              <w:jc w:val="center"/>
            </w:pPr>
            <w:r>
              <w:rPr>
                <w:rFonts w:ascii="仿宋_GB2312" w:hAnsi="仿宋_GB2312" w:cs="仿宋_GB2312" w:eastAsia="仿宋_GB2312"/>
                <w:sz w:val="28"/>
                <w:b/>
              </w:rPr>
              <w:t>蔬菜、食用菌、水果应检参数及判定依据</w:t>
            </w:r>
          </w:p>
          <w:tbl>
            <w:tblPr>
              <w:tblBorders>
                <w:top w:val="none" w:color="000000" w:sz="4"/>
                <w:left w:val="none" w:color="000000" w:sz="4"/>
                <w:bottom w:val="none" w:color="000000" w:sz="4"/>
                <w:right w:val="none" w:color="000000" w:sz="4"/>
                <w:insideH w:val="none"/>
                <w:insideV w:val="none"/>
              </w:tblBorders>
            </w:tblPr>
            <w:tblGrid>
              <w:gridCol w:w="371"/>
              <w:gridCol w:w="1431"/>
              <w:gridCol w:w="750"/>
            </w:tblGrid>
            <w:tr>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农药类别</w:t>
                  </w:r>
                </w:p>
              </w:tc>
              <w:tc>
                <w:tcPr>
                  <w:tcW w:type="dxa" w:w="14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监测参数</w:t>
                  </w:r>
                </w:p>
              </w:tc>
              <w:tc>
                <w:tcPr>
                  <w:tcW w:type="dxa" w:w="7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检测方法</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禁用农药</w:t>
                  </w:r>
                  <w:r>
                    <w:rPr>
                      <w:rFonts w:ascii="仿宋_GB2312" w:hAnsi="仿宋_GB2312" w:cs="仿宋_GB2312" w:eastAsia="仿宋_GB2312"/>
                      <w:sz w:val="24"/>
                    </w:rPr>
                    <w:t>（</w:t>
                  </w:r>
                  <w:r>
                    <w:rPr>
                      <w:rFonts w:ascii="仿宋_GB2312" w:hAnsi="仿宋_GB2312" w:cs="仿宋_GB2312" w:eastAsia="仿宋_GB2312"/>
                      <w:sz w:val="24"/>
                    </w:rPr>
                    <w:t>14种）</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甲胺磷、对硫磷、甲基对硫磷、六六六、三氯杀螨醇、甲拌磷、水胺硫磷、甲基异柳磷；氧乐果、克百威（包括</w:t>
                  </w:r>
                  <w:r>
                    <w:rPr>
                      <w:rFonts w:ascii="仿宋_GB2312" w:hAnsi="仿宋_GB2312" w:cs="仿宋_GB2312" w:eastAsia="仿宋_GB2312"/>
                      <w:sz w:val="24"/>
                    </w:rPr>
                    <w:t>3-羟基克百威)、</w:t>
                  </w:r>
                </w:p>
                <w:p>
                  <w:pPr>
                    <w:pStyle w:val="null3"/>
                    <w:jc w:val="left"/>
                  </w:pPr>
                  <w:r>
                    <w:rPr>
                      <w:rFonts w:ascii="仿宋_GB2312" w:hAnsi="仿宋_GB2312" w:cs="仿宋_GB2312" w:eastAsia="仿宋_GB2312"/>
                      <w:sz w:val="24"/>
                    </w:rPr>
                    <w:t>涕灭威（包括涕灭威砜和涕灭威亚砜）、灭多威（</w:t>
                  </w:r>
                  <w:r>
                    <w:rPr>
                      <w:rFonts w:ascii="仿宋_GB2312" w:hAnsi="仿宋_GB2312" w:cs="仿宋_GB2312" w:eastAsia="仿宋_GB2312"/>
                      <w:sz w:val="24"/>
                    </w:rPr>
                    <w:t>2026 年 6 月 1 日起禁止使用）、灭线磷、杀扑磷</w:t>
                  </w:r>
                </w:p>
              </w:tc>
              <w:tc>
                <w:tcPr>
                  <w:tcW w:type="dxa" w:w="7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w:t>
                  </w:r>
                  <w:r>
                    <w:rPr>
                      <w:rFonts w:ascii="仿宋_GB2312" w:hAnsi="仿宋_GB2312" w:cs="仿宋_GB2312" w:eastAsia="仿宋_GB2312"/>
                      <w:sz w:val="24"/>
                    </w:rPr>
                    <w:t>GB/T 20769</w:t>
                  </w:r>
                </w:p>
                <w:p>
                  <w:pPr>
                    <w:pStyle w:val="null3"/>
                    <w:jc w:val="left"/>
                  </w:pPr>
                  <w:r>
                    <w:rPr>
                      <w:rFonts w:ascii="仿宋_GB2312" w:hAnsi="仿宋_GB2312" w:cs="仿宋_GB2312" w:eastAsia="仿宋_GB2312"/>
                      <w:sz w:val="24"/>
                    </w:rPr>
                    <w:t>或</w:t>
                  </w:r>
                  <w:r>
                    <w:rPr>
                      <w:rFonts w:ascii="仿宋_GB2312" w:hAnsi="仿宋_GB2312" w:cs="仿宋_GB2312" w:eastAsia="仿宋_GB2312"/>
                      <w:sz w:val="24"/>
                    </w:rPr>
                    <w:t>GB 23200.113</w:t>
                  </w:r>
                </w:p>
                <w:p>
                  <w:pPr>
                    <w:pStyle w:val="null3"/>
                    <w:jc w:val="left"/>
                  </w:pPr>
                  <w:r>
                    <w:rPr>
                      <w:rFonts w:ascii="仿宋_GB2312" w:hAnsi="仿宋_GB2312" w:cs="仿宋_GB2312" w:eastAsia="仿宋_GB2312"/>
                      <w:sz w:val="24"/>
                    </w:rPr>
                    <w:t>或</w:t>
                  </w:r>
                  <w:r>
                    <w:rPr>
                      <w:rFonts w:ascii="仿宋_GB2312" w:hAnsi="仿宋_GB2312" w:cs="仿宋_GB2312" w:eastAsia="仿宋_GB2312"/>
                      <w:sz w:val="24"/>
                    </w:rPr>
                    <w:t>GB 23200.121</w:t>
                  </w:r>
                </w:p>
                <w:p>
                  <w:pPr>
                    <w:pStyle w:val="null3"/>
                    <w:jc w:val="left"/>
                  </w:pPr>
                  <w:r>
                    <w:rPr>
                      <w:rFonts w:ascii="仿宋_GB2312" w:hAnsi="仿宋_GB2312" w:cs="仿宋_GB2312" w:eastAsia="仿宋_GB2312"/>
                      <w:sz w:val="24"/>
                    </w:rPr>
                    <w:t>或</w:t>
                  </w:r>
                  <w:r>
                    <w:rPr>
                      <w:rFonts w:ascii="仿宋_GB2312" w:hAnsi="仿宋_GB2312" w:cs="仿宋_GB2312" w:eastAsia="仿宋_GB2312"/>
                      <w:sz w:val="24"/>
                    </w:rPr>
                    <w:t>GB 23200.8</w:t>
                  </w:r>
                </w:p>
                <w:p>
                  <w:pPr>
                    <w:pStyle w:val="null3"/>
                    <w:jc w:val="left"/>
                  </w:pPr>
                  <w:r>
                    <w:rPr>
                      <w:rFonts w:ascii="仿宋_GB2312" w:hAnsi="仿宋_GB2312" w:cs="仿宋_GB2312" w:eastAsia="仿宋_GB2312"/>
                      <w:sz w:val="24"/>
                    </w:rPr>
                    <w:t>或</w:t>
                  </w:r>
                  <w:r>
                    <w:rPr>
                      <w:rFonts w:ascii="仿宋_GB2312" w:hAnsi="仿宋_GB2312" w:cs="仿宋_GB2312" w:eastAsia="仿宋_GB2312"/>
                      <w:sz w:val="24"/>
                    </w:rPr>
                    <w:t>NY/T 761 进行检测</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限用农药</w:t>
                  </w:r>
                  <w:r>
                    <w:rPr>
                      <w:rFonts w:ascii="仿宋_GB2312" w:hAnsi="仿宋_GB2312" w:cs="仿宋_GB2312" w:eastAsia="仿宋_GB2312"/>
                      <w:sz w:val="24"/>
                    </w:rPr>
                    <w:t>（</w:t>
                  </w:r>
                  <w:r>
                    <w:rPr>
                      <w:rFonts w:ascii="仿宋_GB2312" w:hAnsi="仿宋_GB2312" w:cs="仿宋_GB2312" w:eastAsia="仿宋_GB2312"/>
                      <w:sz w:val="24"/>
                    </w:rPr>
                    <w:t>5种）</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氟虫腈（包括氟甲腈、氟虫腈硫醚、氟虫腈砜）、毒死蜱、三唑磷、乐果、乙酰甲胺磷</w:t>
                  </w:r>
                </w:p>
              </w:tc>
              <w:tc>
                <w:tcPr>
                  <w:tcW w:type="dxa" w:w="750"/>
                  <w:vMerge/>
                  <w:tcBorders>
                    <w:top w:val="none" w:color="000000" w:sz="4"/>
                    <w:left w:val="single" w:color="000000" w:sz="4"/>
                    <w:bottom w:val="single" w:color="000000" w:sz="4"/>
                    <w:right w:val="single" w:color="000000" w:sz="4"/>
                  </w:tcBorders>
                </w:tcP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常规农药</w:t>
                  </w:r>
                  <w:r>
                    <w:rPr>
                      <w:rFonts w:ascii="仿宋_GB2312" w:hAnsi="仿宋_GB2312" w:cs="仿宋_GB2312" w:eastAsia="仿宋_GB2312"/>
                      <w:sz w:val="24"/>
                    </w:rPr>
                    <w:t>（</w:t>
                  </w:r>
                  <w:r>
                    <w:rPr>
                      <w:rFonts w:ascii="仿宋_GB2312" w:hAnsi="仿宋_GB2312" w:cs="仿宋_GB2312" w:eastAsia="仿宋_GB2312"/>
                      <w:sz w:val="24"/>
                    </w:rPr>
                    <w:t>51种）</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敌敌畏、杀螟硫磷、丙溴磷、马拉硫磷、亚胺硫磷、辛硫磷、氯氰菊酯、氰戊菊酯、溴氰菊酯、甲氰菊酯、联苯菊酯、氯氟氰菊酯、</w:t>
                  </w:r>
                </w:p>
                <w:p>
                  <w:pPr>
                    <w:pStyle w:val="null3"/>
                    <w:jc w:val="left"/>
                  </w:pPr>
                  <w:r>
                    <w:rPr>
                      <w:rFonts w:ascii="仿宋_GB2312" w:hAnsi="仿宋_GB2312" w:cs="仿宋_GB2312" w:eastAsia="仿宋_GB2312"/>
                      <w:sz w:val="24"/>
                    </w:rPr>
                    <w:t>氟氯氰菊酯、氯吡脲、除虫脲、灭幼脲、吡虫啉、啶虫脒、哒螨灵、阿维菌素、甲氨基阿维菌素苯甲酸盐、虫螨腈、噻虫嗪、氟啶脲、异菌脲、五氯硝基苯、三唑酮、百菌清、腐霉利、乙烯菌核利、多菌灵、苯醚甲环唑、嘧霉胺、烯酰吗啉、咪鲜胺、嘧菌酯、二甲戊灵、灭蝇胺、甲霜灵、霜霉威、氯虫苯甲酰胺、氯菊酯（异构体之和）、醚菊酯、虫酰肼、吡唑醚菌酯、二嗪磷、伏杀硫磷、甲萘威、氟胺氰菊酯、三唑醇、多效唑</w:t>
                  </w:r>
                </w:p>
              </w:tc>
              <w:tc>
                <w:tcPr>
                  <w:tcW w:type="dxa" w:w="750"/>
                  <w:vMerge/>
                  <w:tcBorders>
                    <w:top w:val="none" w:color="000000" w:sz="4"/>
                    <w:left w:val="single" w:color="000000" w:sz="4"/>
                    <w:bottom w:val="single" w:color="000000" w:sz="4"/>
                    <w:right w:val="single" w:color="000000" w:sz="4"/>
                  </w:tcBorders>
                </w:tcP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判定依据</w:t>
                  </w:r>
                </w:p>
              </w:tc>
              <w:tc>
                <w:tcPr>
                  <w:tcW w:type="dxa" w:w="21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种植业产品中的农药残留按《食品安全国家标准食品中农药</w:t>
                  </w:r>
                  <w:r>
                    <w:rPr>
                      <w:rFonts w:ascii="仿宋_GB2312" w:hAnsi="仿宋_GB2312" w:cs="仿宋_GB2312" w:eastAsia="仿宋_GB2312"/>
                      <w:sz w:val="24"/>
                    </w:rPr>
                    <w:t>最大残留限量》</w:t>
                  </w:r>
                  <w:r>
                    <w:rPr>
                      <w:rFonts w:ascii="仿宋_GB2312" w:hAnsi="仿宋_GB2312" w:cs="仿宋_GB2312" w:eastAsia="仿宋_GB2312"/>
                      <w:sz w:val="24"/>
                    </w:rPr>
                    <w:t>(GB2763-2021)  和《食品安全国家标准食品中 2,4-滴丁酸钠盐等112种农药最大残留限量》(GB 2763.1-2022) 进行判定，有一项指标不合格的，即判定为不合格。</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44"/>
                <w:b/>
              </w:rPr>
              <w:t>商务要求</w:t>
            </w:r>
          </w:p>
          <w:p>
            <w:pPr>
              <w:pStyle w:val="null3"/>
              <w:ind w:firstLine="480"/>
              <w:jc w:val="both"/>
            </w:pPr>
            <w:r>
              <w:rPr>
                <w:rFonts w:ascii="仿宋_GB2312" w:hAnsi="仿宋_GB2312" w:cs="仿宋_GB2312" w:eastAsia="仿宋_GB2312"/>
                <w:sz w:val="24"/>
              </w:rPr>
              <w:t>一、服务期限及地点：</w:t>
            </w:r>
          </w:p>
          <w:p>
            <w:pPr>
              <w:pStyle w:val="null3"/>
              <w:ind w:left="-60" w:firstLine="720"/>
              <w:jc w:val="both"/>
            </w:pPr>
            <w:r>
              <w:rPr>
                <w:rFonts w:ascii="仿宋_GB2312" w:hAnsi="仿宋_GB2312" w:cs="仿宋_GB2312" w:eastAsia="仿宋_GB2312"/>
                <w:sz w:val="24"/>
              </w:rPr>
              <w:t>1、服务期限：自合同签订之日起一年。</w:t>
            </w:r>
          </w:p>
          <w:p>
            <w:pPr>
              <w:pStyle w:val="null3"/>
              <w:ind w:left="-60" w:firstLine="720"/>
              <w:jc w:val="both"/>
            </w:pPr>
            <w:r>
              <w:rPr>
                <w:rFonts w:ascii="仿宋_GB2312" w:hAnsi="仿宋_GB2312" w:cs="仿宋_GB2312" w:eastAsia="仿宋_GB2312"/>
                <w:sz w:val="24"/>
              </w:rPr>
              <w:t>2、服务地点：临潼区</w:t>
            </w:r>
          </w:p>
          <w:p>
            <w:pPr>
              <w:pStyle w:val="null3"/>
              <w:ind w:left="-60" w:firstLine="720"/>
              <w:jc w:val="both"/>
            </w:pPr>
            <w:r>
              <w:rPr>
                <w:rFonts w:ascii="仿宋_GB2312" w:hAnsi="仿宋_GB2312" w:cs="仿宋_GB2312" w:eastAsia="仿宋_GB2312"/>
                <w:sz w:val="24"/>
              </w:rPr>
              <w:t>3、服务质量：合格</w:t>
            </w:r>
          </w:p>
          <w:p>
            <w:pPr>
              <w:pStyle w:val="null3"/>
              <w:ind w:left="-60" w:firstLine="720"/>
              <w:jc w:val="both"/>
            </w:pPr>
            <w:r>
              <w:rPr>
                <w:rFonts w:ascii="仿宋_GB2312" w:hAnsi="仿宋_GB2312" w:cs="仿宋_GB2312" w:eastAsia="仿宋_GB2312"/>
                <w:sz w:val="24"/>
              </w:rPr>
              <w:t>4、服务范围：完成本次采购项目所有任务。</w:t>
            </w:r>
          </w:p>
          <w:p>
            <w:pPr>
              <w:pStyle w:val="null3"/>
              <w:ind w:left="-60" w:firstLine="720"/>
              <w:jc w:val="both"/>
            </w:pPr>
            <w:r>
              <w:rPr>
                <w:rFonts w:ascii="仿宋_GB2312" w:hAnsi="仿宋_GB2312" w:cs="仿宋_GB2312" w:eastAsia="仿宋_GB2312"/>
                <w:sz w:val="24"/>
              </w:rPr>
              <w:t>5、服务要求:满足本次采购项目所有服务内容。</w:t>
            </w:r>
          </w:p>
          <w:p>
            <w:pPr>
              <w:pStyle w:val="null3"/>
              <w:ind w:firstLine="480"/>
              <w:jc w:val="both"/>
            </w:pPr>
            <w:r>
              <w:rPr>
                <w:rFonts w:ascii="仿宋_GB2312" w:hAnsi="仿宋_GB2312" w:cs="仿宋_GB2312" w:eastAsia="仿宋_GB2312"/>
                <w:sz w:val="24"/>
              </w:rPr>
              <w:t>二、付款方式：</w:t>
            </w:r>
            <w:r>
              <w:rPr>
                <w:rFonts w:ascii="仿宋_GB2312" w:hAnsi="仿宋_GB2312" w:cs="仿宋_GB2312" w:eastAsia="仿宋_GB2312"/>
                <w:sz w:val="24"/>
              </w:rPr>
              <w:t>合同签订后，达到付款条件起</w:t>
            </w:r>
            <w:r>
              <w:rPr>
                <w:rFonts w:ascii="仿宋_GB2312" w:hAnsi="仿宋_GB2312" w:cs="仿宋_GB2312" w:eastAsia="仿宋_GB2312"/>
                <w:sz w:val="24"/>
              </w:rPr>
              <w:t>30日内，支付合同总金额的40%；</w:t>
            </w:r>
            <w:r>
              <w:rPr>
                <w:rFonts w:ascii="仿宋_GB2312" w:hAnsi="仿宋_GB2312" w:cs="仿宋_GB2312" w:eastAsia="仿宋_GB2312"/>
                <w:sz w:val="24"/>
              </w:rPr>
              <w:t>项目完成后</w:t>
            </w:r>
            <w:r>
              <w:rPr>
                <w:rFonts w:ascii="仿宋_GB2312" w:hAnsi="仿宋_GB2312" w:cs="仿宋_GB2312" w:eastAsia="仿宋_GB2312"/>
                <w:sz w:val="24"/>
              </w:rPr>
              <w:t>，达到付款条件起</w:t>
            </w:r>
            <w:r>
              <w:rPr>
                <w:rFonts w:ascii="仿宋_GB2312" w:hAnsi="仿宋_GB2312" w:cs="仿宋_GB2312" w:eastAsia="仿宋_GB2312"/>
                <w:sz w:val="24"/>
              </w:rPr>
              <w:t>30日内，支付合同总金额的50.00%；</w:t>
            </w:r>
            <w:r>
              <w:rPr>
                <w:rFonts w:ascii="仿宋_GB2312" w:hAnsi="仿宋_GB2312" w:cs="仿宋_GB2312" w:eastAsia="仿宋_GB2312"/>
                <w:sz w:val="24"/>
              </w:rPr>
              <w:t>项目</w:t>
            </w:r>
            <w:r>
              <w:rPr>
                <w:rFonts w:ascii="仿宋_GB2312" w:hAnsi="仿宋_GB2312" w:cs="仿宋_GB2312" w:eastAsia="仿宋_GB2312"/>
                <w:sz w:val="24"/>
              </w:rPr>
              <w:t>验收合格后，达到付款条件起</w:t>
            </w:r>
            <w:r>
              <w:rPr>
                <w:rFonts w:ascii="仿宋_GB2312" w:hAnsi="仿宋_GB2312" w:cs="仿宋_GB2312" w:eastAsia="仿宋_GB2312"/>
                <w:sz w:val="24"/>
              </w:rPr>
              <w:t>30日内，支付合同总金额的10.00%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注：商务要求为实质性要求，不得负偏离。</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标的名称：专项监测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44"/>
                <w:b/>
              </w:rPr>
              <w:t>服务内容及要求</w:t>
            </w:r>
          </w:p>
          <w:p>
            <w:pPr>
              <w:pStyle w:val="null3"/>
              <w:ind w:firstLine="562"/>
              <w:jc w:val="left"/>
            </w:pPr>
            <w:r>
              <w:rPr>
                <w:rFonts w:ascii="仿宋_GB2312" w:hAnsi="仿宋_GB2312" w:cs="仿宋_GB2312" w:eastAsia="仿宋_GB2312"/>
                <w:sz w:val="28"/>
                <w:b/>
              </w:rPr>
              <w:t>一、采购内容</w:t>
            </w:r>
          </w:p>
          <w:p>
            <w:pPr>
              <w:pStyle w:val="null3"/>
              <w:ind w:firstLine="480"/>
              <w:jc w:val="left"/>
            </w:pPr>
            <w:r>
              <w:rPr>
                <w:rFonts w:ascii="仿宋_GB2312" w:hAnsi="仿宋_GB2312" w:cs="仿宋_GB2312" w:eastAsia="仿宋_GB2312"/>
                <w:sz w:val="24"/>
              </w:rPr>
              <w:t>临潼区农产品质量安全种植业定量检测及标准化项目，根据《农产品质量安全法》《农产品质量安全监测管理办法》规定，我区组织对全区主要种植业产品开展农产品农药残留定量检测，为确保高质量完成全年监测任务。为了掌握农产品质量安全状况和开展农产品质量安全风险评估，系统和持续地对影响农产品质量安全的有害因素进行检验、分析和评价的活动。</w:t>
            </w:r>
          </w:p>
          <w:p>
            <w:pPr>
              <w:pStyle w:val="null3"/>
              <w:ind w:firstLine="562"/>
              <w:jc w:val="left"/>
            </w:pPr>
            <w:r>
              <w:rPr>
                <w:rFonts w:ascii="仿宋_GB2312" w:hAnsi="仿宋_GB2312" w:cs="仿宋_GB2312" w:eastAsia="仿宋_GB2312"/>
                <w:sz w:val="28"/>
                <w:b/>
              </w:rPr>
              <w:t>二、</w:t>
            </w:r>
            <w:r>
              <w:rPr>
                <w:rFonts w:ascii="仿宋_GB2312" w:hAnsi="仿宋_GB2312" w:cs="仿宋_GB2312" w:eastAsia="仿宋_GB2312"/>
                <w:sz w:val="28"/>
                <w:b/>
              </w:rPr>
              <w:t>工作</w:t>
            </w:r>
            <w:r>
              <w:rPr>
                <w:rFonts w:ascii="仿宋_GB2312" w:hAnsi="仿宋_GB2312" w:cs="仿宋_GB2312" w:eastAsia="仿宋_GB2312"/>
                <w:sz w:val="28"/>
                <w:b/>
              </w:rPr>
              <w:t>范围</w:t>
            </w:r>
          </w:p>
          <w:p>
            <w:pPr>
              <w:pStyle w:val="null3"/>
              <w:ind w:firstLine="562"/>
              <w:jc w:val="left"/>
            </w:pPr>
            <w:r>
              <w:rPr>
                <w:rFonts w:ascii="仿宋_GB2312" w:hAnsi="仿宋_GB2312" w:cs="仿宋_GB2312" w:eastAsia="仿宋_GB2312"/>
                <w:sz w:val="28"/>
                <w:b/>
              </w:rPr>
              <w:t>（一）</w:t>
            </w:r>
            <w:r>
              <w:rPr>
                <w:rFonts w:ascii="仿宋_GB2312" w:hAnsi="仿宋_GB2312" w:cs="仿宋_GB2312" w:eastAsia="仿宋_GB2312"/>
                <w:sz w:val="28"/>
                <w:b/>
              </w:rPr>
              <w:t>区域范围、数量</w:t>
            </w:r>
          </w:p>
          <w:p>
            <w:pPr>
              <w:pStyle w:val="null3"/>
              <w:ind w:firstLine="480"/>
              <w:jc w:val="left"/>
            </w:pPr>
            <w:r>
              <w:rPr>
                <w:rFonts w:ascii="仿宋_GB2312" w:hAnsi="仿宋_GB2312" w:cs="仿宋_GB2312" w:eastAsia="仿宋_GB2312"/>
                <w:sz w:val="24"/>
              </w:rPr>
              <w:t>临潼区辖区内种植品，共抽检</w:t>
            </w:r>
            <w:r>
              <w:rPr>
                <w:rFonts w:ascii="仿宋_GB2312" w:hAnsi="仿宋_GB2312" w:cs="仿宋_GB2312" w:eastAsia="仿宋_GB2312"/>
                <w:sz w:val="24"/>
              </w:rPr>
              <w:t>200批次农产品。</w:t>
            </w:r>
          </w:p>
          <w:p>
            <w:pPr>
              <w:pStyle w:val="null3"/>
              <w:ind w:firstLine="562"/>
              <w:jc w:val="left"/>
            </w:pPr>
            <w:r>
              <w:rPr>
                <w:rFonts w:ascii="仿宋_GB2312" w:hAnsi="仿宋_GB2312" w:cs="仿宋_GB2312" w:eastAsia="仿宋_GB2312"/>
                <w:sz w:val="28"/>
                <w:b/>
              </w:rPr>
              <w:t>（二）</w:t>
            </w:r>
            <w:r>
              <w:rPr>
                <w:rFonts w:ascii="仿宋_GB2312" w:hAnsi="仿宋_GB2312" w:cs="仿宋_GB2312" w:eastAsia="仿宋_GB2312"/>
                <w:sz w:val="28"/>
                <w:b/>
              </w:rPr>
              <w:t>产品</w:t>
            </w:r>
            <w:r>
              <w:rPr>
                <w:rFonts w:ascii="仿宋_GB2312" w:hAnsi="仿宋_GB2312" w:cs="仿宋_GB2312" w:eastAsia="仿宋_GB2312"/>
                <w:sz w:val="28"/>
                <w:b/>
              </w:rPr>
              <w:t>种类</w:t>
            </w:r>
          </w:p>
          <w:p>
            <w:pPr>
              <w:pStyle w:val="null3"/>
              <w:ind w:firstLine="450"/>
              <w:jc w:val="left"/>
            </w:pPr>
            <w:r>
              <w:rPr>
                <w:rFonts w:ascii="仿宋_GB2312" w:hAnsi="仿宋_GB2312" w:cs="仿宋_GB2312" w:eastAsia="仿宋_GB2312"/>
                <w:sz w:val="24"/>
                <w:b/>
              </w:rPr>
              <w:t>1.蔬菜</w:t>
            </w:r>
            <w:r>
              <w:rPr>
                <w:rFonts w:ascii="仿宋_GB2312" w:hAnsi="仿宋_GB2312" w:cs="仿宋_GB2312" w:eastAsia="仿宋_GB2312"/>
                <w:sz w:val="24"/>
                <w:b/>
              </w:rPr>
              <w:t>：</w:t>
            </w:r>
            <w:r>
              <w:rPr>
                <w:rFonts w:ascii="仿宋_GB2312" w:hAnsi="仿宋_GB2312" w:cs="仿宋_GB2312" w:eastAsia="仿宋_GB2312"/>
                <w:sz w:val="24"/>
              </w:rPr>
              <w:t>依据我市农产品目录清单，重点监测生产环节的芹菜、菠菜、叶用莴苣、芫荽、茼蒿、普通白菜、大白菜、蕹菜、花椰菜、甘蓝、青花菜、菜薹、黄瓜、苦瓜、丝瓜、西葫芦、辣椒、番茄、茄子、豇豆、菜豆、食荚豌豆、蚕豆、扁豆、韭菜、大葱、细香葱、洋葱、大蒜、莲藕、茭白、萝卜、胡萝卜、马铃薯、山药、甘薯、生姜、黄花菜、芦笋、香椿、南瓜、冬瓜、蒜苗、芋、芥菜、茎用莴苣等品种。</w:t>
            </w:r>
          </w:p>
          <w:p>
            <w:pPr>
              <w:pStyle w:val="null3"/>
              <w:ind w:firstLine="450"/>
              <w:jc w:val="left"/>
            </w:pPr>
            <w:r>
              <w:rPr>
                <w:rFonts w:ascii="仿宋_GB2312" w:hAnsi="仿宋_GB2312" w:cs="仿宋_GB2312" w:eastAsia="仿宋_GB2312"/>
                <w:sz w:val="24"/>
                <w:b/>
              </w:rPr>
              <w:t>2.水 果</w:t>
            </w:r>
            <w:r>
              <w:rPr>
                <w:rFonts w:ascii="仿宋_GB2312" w:hAnsi="仿宋_GB2312" w:cs="仿宋_GB2312" w:eastAsia="仿宋_GB2312"/>
                <w:sz w:val="24"/>
                <w:b/>
              </w:rPr>
              <w:t>：</w:t>
            </w:r>
            <w:r>
              <w:rPr>
                <w:rFonts w:ascii="仿宋_GB2312" w:hAnsi="仿宋_GB2312" w:cs="仿宋_GB2312" w:eastAsia="仿宋_GB2312"/>
                <w:sz w:val="24"/>
              </w:rPr>
              <w:t>重点监测猕猴桃、草莓、樱桃、葡萄、西瓜、石榴、甜瓜、柿子、李、杏、梨、桃、枣等我市特色或小宗品种。</w:t>
            </w:r>
          </w:p>
          <w:p>
            <w:pPr>
              <w:pStyle w:val="null3"/>
              <w:ind w:firstLine="450"/>
              <w:jc w:val="left"/>
            </w:pPr>
            <w:r>
              <w:rPr>
                <w:rFonts w:ascii="仿宋_GB2312" w:hAnsi="仿宋_GB2312" w:cs="仿宋_GB2312" w:eastAsia="仿宋_GB2312"/>
                <w:sz w:val="24"/>
                <w:b/>
              </w:rPr>
              <w:t>3.</w:t>
            </w:r>
            <w:r>
              <w:rPr>
                <w:rFonts w:ascii="仿宋_GB2312" w:hAnsi="仿宋_GB2312" w:cs="仿宋_GB2312" w:eastAsia="仿宋_GB2312"/>
                <w:sz w:val="24"/>
                <w:b/>
              </w:rPr>
              <w:t>食用菌</w:t>
            </w:r>
            <w:r>
              <w:rPr>
                <w:rFonts w:ascii="仿宋_GB2312" w:hAnsi="仿宋_GB2312" w:cs="仿宋_GB2312" w:eastAsia="仿宋_GB2312"/>
                <w:sz w:val="24"/>
                <w:b/>
              </w:rPr>
              <w:t>：</w:t>
            </w:r>
            <w:r>
              <w:rPr>
                <w:rFonts w:ascii="仿宋_GB2312" w:hAnsi="仿宋_GB2312" w:cs="仿宋_GB2312" w:eastAsia="仿宋_GB2312"/>
                <w:sz w:val="24"/>
              </w:rPr>
              <w:t>重点监测香菇、平菇、双孢蘑菇、金针菇、秀珍菇、黑木耳（含毛木耳）、银耳、茶树菇、杏鲍菇、草菇等品种，均为鲜品。</w:t>
            </w:r>
          </w:p>
          <w:p>
            <w:pPr>
              <w:pStyle w:val="null3"/>
              <w:ind w:firstLine="450"/>
              <w:jc w:val="left"/>
            </w:pPr>
            <w:r>
              <w:rPr>
                <w:rFonts w:ascii="仿宋_GB2312" w:hAnsi="仿宋_GB2312" w:cs="仿宋_GB2312" w:eastAsia="仿宋_GB2312"/>
                <w:sz w:val="24"/>
                <w:b/>
              </w:rPr>
              <w:t>4.专项监测品种：</w:t>
            </w:r>
            <w:r>
              <w:rPr>
                <w:rFonts w:ascii="仿宋_GB2312" w:hAnsi="仿宋_GB2312" w:cs="仿宋_GB2312" w:eastAsia="仿宋_GB2312"/>
                <w:sz w:val="24"/>
              </w:rPr>
              <w:t>芹菜</w:t>
            </w:r>
            <w:r>
              <w:rPr>
                <w:rFonts w:ascii="仿宋_GB2312" w:hAnsi="仿宋_GB2312" w:cs="仿宋_GB2312" w:eastAsia="仿宋_GB2312"/>
                <w:sz w:val="24"/>
              </w:rPr>
              <w:t>、</w:t>
            </w:r>
            <w:r>
              <w:rPr>
                <w:rFonts w:ascii="仿宋_GB2312" w:hAnsi="仿宋_GB2312" w:cs="仿宋_GB2312" w:eastAsia="仿宋_GB2312"/>
                <w:sz w:val="24"/>
              </w:rPr>
              <w:t>桃</w:t>
            </w:r>
            <w:r>
              <w:rPr>
                <w:rFonts w:ascii="仿宋_GB2312" w:hAnsi="仿宋_GB2312" w:cs="仿宋_GB2312" w:eastAsia="仿宋_GB2312"/>
                <w:sz w:val="24"/>
              </w:rPr>
              <w:t>、猕猴桃</w:t>
            </w:r>
            <w:r>
              <w:rPr>
                <w:rFonts w:ascii="仿宋_GB2312" w:hAnsi="仿宋_GB2312" w:cs="仿宋_GB2312" w:eastAsia="仿宋_GB2312"/>
                <w:sz w:val="24"/>
              </w:rPr>
              <w:t>，葡萄。</w:t>
            </w:r>
          </w:p>
          <w:p>
            <w:pPr>
              <w:pStyle w:val="null3"/>
              <w:ind w:firstLine="562"/>
              <w:jc w:val="left"/>
            </w:pPr>
            <w:r>
              <w:rPr>
                <w:rFonts w:ascii="仿宋_GB2312" w:hAnsi="仿宋_GB2312" w:cs="仿宋_GB2312" w:eastAsia="仿宋_GB2312"/>
                <w:sz w:val="28"/>
                <w:b/>
              </w:rPr>
              <w:t>三、服务时间</w:t>
            </w:r>
          </w:p>
          <w:p>
            <w:pPr>
              <w:pStyle w:val="null3"/>
              <w:ind w:firstLine="480"/>
              <w:jc w:val="left"/>
            </w:pPr>
            <w:r>
              <w:rPr>
                <w:rFonts w:ascii="仿宋_GB2312" w:hAnsi="仿宋_GB2312" w:cs="仿宋_GB2312" w:eastAsia="仿宋_GB2312"/>
                <w:sz w:val="24"/>
              </w:rPr>
              <w:t>根据当地产品上市时间，及时抽样检测。</w:t>
            </w:r>
          </w:p>
          <w:p>
            <w:pPr>
              <w:pStyle w:val="null3"/>
              <w:ind w:firstLine="562"/>
              <w:jc w:val="left"/>
            </w:pPr>
            <w:r>
              <w:rPr>
                <w:rFonts w:ascii="仿宋_GB2312" w:hAnsi="仿宋_GB2312" w:cs="仿宋_GB2312" w:eastAsia="仿宋_GB2312"/>
                <w:sz w:val="28"/>
                <w:b/>
              </w:rPr>
              <w:t>四</w:t>
            </w:r>
            <w:r>
              <w:rPr>
                <w:rFonts w:ascii="仿宋_GB2312" w:hAnsi="仿宋_GB2312" w:cs="仿宋_GB2312" w:eastAsia="仿宋_GB2312"/>
                <w:sz w:val="28"/>
                <w:b/>
              </w:rPr>
              <w:t>、</w:t>
            </w:r>
            <w:r>
              <w:rPr>
                <w:rFonts w:ascii="仿宋_GB2312" w:hAnsi="仿宋_GB2312" w:cs="仿宋_GB2312" w:eastAsia="仿宋_GB2312"/>
                <w:sz w:val="28"/>
                <w:b/>
              </w:rPr>
              <w:t>抽样及检测要求</w:t>
            </w:r>
          </w:p>
          <w:p>
            <w:pPr>
              <w:pStyle w:val="null3"/>
              <w:ind w:firstLine="482"/>
              <w:jc w:val="left"/>
            </w:pPr>
            <w:r>
              <w:rPr>
                <w:rFonts w:ascii="仿宋_GB2312" w:hAnsi="仿宋_GB2312" w:cs="仿宋_GB2312" w:eastAsia="仿宋_GB2312"/>
                <w:sz w:val="24"/>
                <w:b/>
              </w:rPr>
              <w:t>（一）抽样要求</w:t>
            </w:r>
          </w:p>
          <w:p>
            <w:pPr>
              <w:pStyle w:val="null3"/>
              <w:ind w:firstLine="480"/>
              <w:jc w:val="left"/>
            </w:pPr>
            <w:r>
              <w:rPr>
                <w:rFonts w:ascii="仿宋_GB2312" w:hAnsi="仿宋_GB2312" w:cs="仿宋_GB2312" w:eastAsia="仿宋_GB2312"/>
                <w:sz w:val="24"/>
              </w:rPr>
              <w:t>应有满足农产品抽样的专用车辆和不少于</w:t>
            </w:r>
            <w:r>
              <w:rPr>
                <w:rFonts w:ascii="仿宋_GB2312" w:hAnsi="仿宋_GB2312" w:cs="仿宋_GB2312" w:eastAsia="仿宋_GB2312"/>
                <w:sz w:val="24"/>
              </w:rPr>
              <w:t>2个的专业抽样人员，</w:t>
            </w:r>
            <w:r>
              <w:rPr>
                <w:rFonts w:ascii="仿宋_GB2312" w:hAnsi="仿宋_GB2312" w:cs="仿宋_GB2312" w:eastAsia="仿宋_GB2312"/>
                <w:sz w:val="24"/>
              </w:rPr>
              <w:t>严格按照</w:t>
            </w:r>
            <w:r>
              <w:rPr>
                <w:rFonts w:ascii="仿宋_GB2312" w:hAnsi="仿宋_GB2312" w:cs="仿宋_GB2312" w:eastAsia="仿宋_GB2312"/>
                <w:sz w:val="24"/>
              </w:rPr>
              <w:t>NY/T 789-2004</w:t>
            </w:r>
            <w:r>
              <w:rPr>
                <w:rFonts w:ascii="仿宋_GB2312" w:hAnsi="仿宋_GB2312" w:cs="仿宋_GB2312" w:eastAsia="仿宋_GB2312"/>
                <w:sz w:val="24"/>
              </w:rPr>
              <w:t>《</w:t>
            </w:r>
            <w:r>
              <w:rPr>
                <w:rFonts w:ascii="仿宋_GB2312" w:hAnsi="仿宋_GB2312" w:cs="仿宋_GB2312" w:eastAsia="仿宋_GB2312"/>
                <w:sz w:val="24"/>
              </w:rPr>
              <w:t>农药残留分析样本的采样方法</w:t>
            </w:r>
            <w:r>
              <w:rPr>
                <w:rFonts w:ascii="仿宋_GB2312" w:hAnsi="仿宋_GB2312" w:cs="仿宋_GB2312" w:eastAsia="仿宋_GB2312"/>
                <w:sz w:val="24"/>
              </w:rPr>
              <w:t>》执行，确保当天完成抽样并到达实验室，</w:t>
            </w:r>
            <w:r>
              <w:rPr>
                <w:rFonts w:ascii="仿宋_GB2312" w:hAnsi="仿宋_GB2312" w:cs="仿宋_GB2312" w:eastAsia="仿宋_GB2312"/>
                <w:sz w:val="24"/>
              </w:rPr>
              <w:t>抽样时应采集现场</w:t>
            </w:r>
            <w:r>
              <w:rPr>
                <w:rFonts w:ascii="仿宋_GB2312" w:hAnsi="仿宋_GB2312" w:cs="仿宋_GB2312" w:eastAsia="仿宋_GB2312"/>
                <w:sz w:val="24"/>
              </w:rPr>
              <w:t>影像等信息</w:t>
            </w:r>
            <w:r>
              <w:rPr>
                <w:rFonts w:ascii="仿宋_GB2312" w:hAnsi="仿宋_GB2312" w:cs="仿宋_GB2312" w:eastAsia="仿宋_GB2312"/>
                <w:sz w:val="24"/>
              </w:rPr>
              <w:t>并记录，</w:t>
            </w:r>
            <w:r>
              <w:rPr>
                <w:rFonts w:ascii="仿宋_GB2312" w:hAnsi="仿宋_GB2312" w:cs="仿宋_GB2312" w:eastAsia="仿宋_GB2312"/>
                <w:sz w:val="24"/>
              </w:rPr>
              <w:t>并</w:t>
            </w:r>
            <w:r>
              <w:rPr>
                <w:rFonts w:ascii="仿宋_GB2312" w:hAnsi="仿宋_GB2312" w:cs="仿宋_GB2312" w:eastAsia="仿宋_GB2312"/>
                <w:sz w:val="24"/>
              </w:rPr>
              <w:t>有能力保障样品在储存、运输过程有效防护，</w:t>
            </w:r>
            <w:r>
              <w:rPr>
                <w:rFonts w:ascii="仿宋_GB2312" w:hAnsi="仿宋_GB2312" w:cs="仿宋_GB2312" w:eastAsia="仿宋_GB2312"/>
                <w:sz w:val="24"/>
              </w:rPr>
              <w:t>样品确保</w:t>
            </w:r>
            <w:r>
              <w:rPr>
                <w:rFonts w:ascii="仿宋_GB2312" w:hAnsi="仿宋_GB2312" w:cs="仿宋_GB2312" w:eastAsia="仿宋_GB2312"/>
                <w:sz w:val="24"/>
              </w:rPr>
              <w:t>可追溯。</w:t>
            </w:r>
            <w:r>
              <w:rPr>
                <w:rFonts w:ascii="仿宋_GB2312" w:hAnsi="仿宋_GB2312" w:cs="仿宋_GB2312" w:eastAsia="仿宋_GB2312"/>
                <w:sz w:val="24"/>
              </w:rPr>
              <w:t>样品</w:t>
            </w:r>
            <w:r>
              <w:rPr>
                <w:rFonts w:ascii="仿宋_GB2312" w:hAnsi="仿宋_GB2312" w:cs="仿宋_GB2312" w:eastAsia="仿宋_GB2312"/>
                <w:sz w:val="24"/>
              </w:rPr>
              <w:t>制备三份</w:t>
            </w:r>
            <w:r>
              <w:rPr>
                <w:rFonts w:ascii="仿宋_GB2312" w:hAnsi="仿宋_GB2312" w:cs="仿宋_GB2312" w:eastAsia="仿宋_GB2312"/>
                <w:sz w:val="24"/>
              </w:rPr>
              <w:t>（</w:t>
            </w:r>
            <w:r>
              <w:rPr>
                <w:rFonts w:ascii="仿宋_GB2312" w:hAnsi="仿宋_GB2312" w:cs="仿宋_GB2312" w:eastAsia="仿宋_GB2312"/>
                <w:sz w:val="24"/>
              </w:rPr>
              <w:t>检测样</w:t>
            </w:r>
            <w:r>
              <w:rPr>
                <w:rFonts w:ascii="仿宋_GB2312" w:hAnsi="仿宋_GB2312" w:cs="仿宋_GB2312" w:eastAsia="仿宋_GB2312"/>
                <w:sz w:val="24"/>
              </w:rPr>
              <w:t>、</w:t>
            </w:r>
            <w:r>
              <w:rPr>
                <w:rFonts w:ascii="仿宋_GB2312" w:hAnsi="仿宋_GB2312" w:cs="仿宋_GB2312" w:eastAsia="仿宋_GB2312"/>
                <w:sz w:val="24"/>
              </w:rPr>
              <w:t>备份样、复检样）</w:t>
            </w:r>
            <w:r>
              <w:rPr>
                <w:rFonts w:ascii="仿宋_GB2312" w:hAnsi="仿宋_GB2312" w:cs="仿宋_GB2312" w:eastAsia="仿宋_GB2312"/>
                <w:sz w:val="24"/>
              </w:rPr>
              <w:t>，</w:t>
            </w:r>
            <w:r>
              <w:rPr>
                <w:rFonts w:ascii="仿宋_GB2312" w:hAnsi="仿宋_GB2312" w:cs="仿宋_GB2312" w:eastAsia="仿宋_GB2312"/>
                <w:sz w:val="24"/>
              </w:rPr>
              <w:t>每份</w:t>
            </w:r>
            <w:r>
              <w:rPr>
                <w:rFonts w:ascii="仿宋_GB2312" w:hAnsi="仿宋_GB2312" w:cs="仿宋_GB2312" w:eastAsia="仿宋_GB2312"/>
                <w:sz w:val="24"/>
              </w:rPr>
              <w:t>300-400克。</w:t>
            </w:r>
          </w:p>
          <w:p>
            <w:pPr>
              <w:pStyle w:val="null3"/>
              <w:ind w:firstLine="482"/>
              <w:jc w:val="left"/>
            </w:pPr>
            <w:r>
              <w:rPr>
                <w:rFonts w:ascii="仿宋_GB2312" w:hAnsi="仿宋_GB2312" w:cs="仿宋_GB2312" w:eastAsia="仿宋_GB2312"/>
                <w:sz w:val="24"/>
                <w:b/>
              </w:rPr>
              <w:t>（二）检测参数、方法及判定依据</w:t>
            </w:r>
          </w:p>
          <w:p>
            <w:pPr>
              <w:pStyle w:val="null3"/>
              <w:ind w:firstLine="480"/>
              <w:jc w:val="left"/>
            </w:pPr>
            <w:r>
              <w:rPr>
                <w:rFonts w:ascii="仿宋_GB2312" w:hAnsi="仿宋_GB2312" w:cs="仿宋_GB2312" w:eastAsia="仿宋_GB2312"/>
                <w:sz w:val="24"/>
              </w:rPr>
              <w:t>检测参数和检测方法严格按下表要求进行，每批次共检测</w:t>
            </w:r>
            <w:r>
              <w:rPr>
                <w:rFonts w:ascii="仿宋_GB2312" w:hAnsi="仿宋_GB2312" w:cs="仿宋_GB2312" w:eastAsia="仿宋_GB2312"/>
                <w:sz w:val="24"/>
              </w:rPr>
              <w:t>70种农药参数，选择对应合适的检测方法。</w:t>
            </w:r>
          </w:p>
          <w:p>
            <w:pPr>
              <w:pStyle w:val="null3"/>
              <w:jc w:val="center"/>
            </w:pPr>
            <w:r>
              <w:rPr>
                <w:rFonts w:ascii="仿宋_GB2312" w:hAnsi="仿宋_GB2312" w:cs="仿宋_GB2312" w:eastAsia="仿宋_GB2312"/>
                <w:sz w:val="28"/>
                <w:b/>
              </w:rPr>
              <w:t>蔬菜、食用菌、水果应检参数及判定依据</w:t>
            </w:r>
          </w:p>
          <w:tbl>
            <w:tblPr>
              <w:tblBorders>
                <w:top w:val="none" w:color="000000" w:sz="4"/>
                <w:left w:val="none" w:color="000000" w:sz="4"/>
                <w:bottom w:val="none" w:color="000000" w:sz="4"/>
                <w:right w:val="none" w:color="000000" w:sz="4"/>
                <w:insideH w:val="none"/>
                <w:insideV w:val="none"/>
              </w:tblBorders>
            </w:tblPr>
            <w:tblGrid>
              <w:gridCol w:w="371"/>
              <w:gridCol w:w="1431"/>
              <w:gridCol w:w="750"/>
            </w:tblGrid>
            <w:tr>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农药类别</w:t>
                  </w:r>
                </w:p>
              </w:tc>
              <w:tc>
                <w:tcPr>
                  <w:tcW w:type="dxa" w:w="14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监测参数</w:t>
                  </w:r>
                </w:p>
              </w:tc>
              <w:tc>
                <w:tcPr>
                  <w:tcW w:type="dxa" w:w="7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检测方法</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禁用农药</w:t>
                  </w:r>
                  <w:r>
                    <w:rPr>
                      <w:rFonts w:ascii="仿宋_GB2312" w:hAnsi="仿宋_GB2312" w:cs="仿宋_GB2312" w:eastAsia="仿宋_GB2312"/>
                      <w:sz w:val="24"/>
                    </w:rPr>
                    <w:t>（</w:t>
                  </w:r>
                  <w:r>
                    <w:rPr>
                      <w:rFonts w:ascii="仿宋_GB2312" w:hAnsi="仿宋_GB2312" w:cs="仿宋_GB2312" w:eastAsia="仿宋_GB2312"/>
                      <w:sz w:val="24"/>
                    </w:rPr>
                    <w:t>14种）</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甲胺磷、对硫磷、甲基对硫磷、六六六、三氯杀螨醇、甲拌磷、水胺硫磷、甲基异柳磷；氧乐果、克百威（包括</w:t>
                  </w:r>
                  <w:r>
                    <w:rPr>
                      <w:rFonts w:ascii="仿宋_GB2312" w:hAnsi="仿宋_GB2312" w:cs="仿宋_GB2312" w:eastAsia="仿宋_GB2312"/>
                      <w:sz w:val="24"/>
                    </w:rPr>
                    <w:t>3-羟基克百威)、</w:t>
                  </w:r>
                </w:p>
                <w:p>
                  <w:pPr>
                    <w:pStyle w:val="null3"/>
                    <w:jc w:val="left"/>
                  </w:pPr>
                  <w:r>
                    <w:rPr>
                      <w:rFonts w:ascii="仿宋_GB2312" w:hAnsi="仿宋_GB2312" w:cs="仿宋_GB2312" w:eastAsia="仿宋_GB2312"/>
                      <w:sz w:val="24"/>
                    </w:rPr>
                    <w:t>涕灭威（包括涕灭威砜和涕灭威亚砜）、灭多威（</w:t>
                  </w:r>
                  <w:r>
                    <w:rPr>
                      <w:rFonts w:ascii="仿宋_GB2312" w:hAnsi="仿宋_GB2312" w:cs="仿宋_GB2312" w:eastAsia="仿宋_GB2312"/>
                      <w:sz w:val="24"/>
                    </w:rPr>
                    <w:t>2026 年 6 月 1 日起禁止使用）、灭线磷、杀扑磷</w:t>
                  </w:r>
                </w:p>
              </w:tc>
              <w:tc>
                <w:tcPr>
                  <w:tcW w:type="dxa" w:w="7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w:t>
                  </w:r>
                  <w:r>
                    <w:rPr>
                      <w:rFonts w:ascii="仿宋_GB2312" w:hAnsi="仿宋_GB2312" w:cs="仿宋_GB2312" w:eastAsia="仿宋_GB2312"/>
                      <w:sz w:val="24"/>
                    </w:rPr>
                    <w:t>GB/T 20769</w:t>
                  </w:r>
                </w:p>
                <w:p>
                  <w:pPr>
                    <w:pStyle w:val="null3"/>
                    <w:jc w:val="left"/>
                  </w:pPr>
                  <w:r>
                    <w:rPr>
                      <w:rFonts w:ascii="仿宋_GB2312" w:hAnsi="仿宋_GB2312" w:cs="仿宋_GB2312" w:eastAsia="仿宋_GB2312"/>
                      <w:sz w:val="24"/>
                    </w:rPr>
                    <w:t>或</w:t>
                  </w:r>
                  <w:r>
                    <w:rPr>
                      <w:rFonts w:ascii="仿宋_GB2312" w:hAnsi="仿宋_GB2312" w:cs="仿宋_GB2312" w:eastAsia="仿宋_GB2312"/>
                      <w:sz w:val="24"/>
                    </w:rPr>
                    <w:t>GB 23200.113</w:t>
                  </w:r>
                </w:p>
                <w:p>
                  <w:pPr>
                    <w:pStyle w:val="null3"/>
                    <w:jc w:val="left"/>
                  </w:pPr>
                  <w:r>
                    <w:rPr>
                      <w:rFonts w:ascii="仿宋_GB2312" w:hAnsi="仿宋_GB2312" w:cs="仿宋_GB2312" w:eastAsia="仿宋_GB2312"/>
                      <w:sz w:val="24"/>
                    </w:rPr>
                    <w:t>或</w:t>
                  </w:r>
                  <w:r>
                    <w:rPr>
                      <w:rFonts w:ascii="仿宋_GB2312" w:hAnsi="仿宋_GB2312" w:cs="仿宋_GB2312" w:eastAsia="仿宋_GB2312"/>
                      <w:sz w:val="24"/>
                    </w:rPr>
                    <w:t>GB 23200.121</w:t>
                  </w:r>
                </w:p>
                <w:p>
                  <w:pPr>
                    <w:pStyle w:val="null3"/>
                    <w:jc w:val="left"/>
                  </w:pPr>
                  <w:r>
                    <w:rPr>
                      <w:rFonts w:ascii="仿宋_GB2312" w:hAnsi="仿宋_GB2312" w:cs="仿宋_GB2312" w:eastAsia="仿宋_GB2312"/>
                      <w:sz w:val="24"/>
                    </w:rPr>
                    <w:t>或</w:t>
                  </w:r>
                  <w:r>
                    <w:rPr>
                      <w:rFonts w:ascii="仿宋_GB2312" w:hAnsi="仿宋_GB2312" w:cs="仿宋_GB2312" w:eastAsia="仿宋_GB2312"/>
                      <w:sz w:val="24"/>
                    </w:rPr>
                    <w:t>GB 23200.8</w:t>
                  </w:r>
                </w:p>
                <w:p>
                  <w:pPr>
                    <w:pStyle w:val="null3"/>
                    <w:jc w:val="left"/>
                  </w:pPr>
                  <w:r>
                    <w:rPr>
                      <w:rFonts w:ascii="仿宋_GB2312" w:hAnsi="仿宋_GB2312" w:cs="仿宋_GB2312" w:eastAsia="仿宋_GB2312"/>
                      <w:sz w:val="24"/>
                    </w:rPr>
                    <w:t>或</w:t>
                  </w:r>
                  <w:r>
                    <w:rPr>
                      <w:rFonts w:ascii="仿宋_GB2312" w:hAnsi="仿宋_GB2312" w:cs="仿宋_GB2312" w:eastAsia="仿宋_GB2312"/>
                      <w:sz w:val="24"/>
                    </w:rPr>
                    <w:t>NY/T 761 进行检测</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限用农药</w:t>
                  </w:r>
                  <w:r>
                    <w:rPr>
                      <w:rFonts w:ascii="仿宋_GB2312" w:hAnsi="仿宋_GB2312" w:cs="仿宋_GB2312" w:eastAsia="仿宋_GB2312"/>
                      <w:sz w:val="24"/>
                    </w:rPr>
                    <w:t>（</w:t>
                  </w:r>
                  <w:r>
                    <w:rPr>
                      <w:rFonts w:ascii="仿宋_GB2312" w:hAnsi="仿宋_GB2312" w:cs="仿宋_GB2312" w:eastAsia="仿宋_GB2312"/>
                      <w:sz w:val="24"/>
                    </w:rPr>
                    <w:t>5种）</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氟虫腈（包括氟甲腈、氟虫腈硫醚、氟虫腈砜）、毒死蜱、三唑磷、乐果、乙酰甲胺磷</w:t>
                  </w:r>
                </w:p>
              </w:tc>
              <w:tc>
                <w:tcPr>
                  <w:tcW w:type="dxa" w:w="750"/>
                  <w:vMerge/>
                  <w:tcBorders>
                    <w:top w:val="none" w:color="000000" w:sz="4"/>
                    <w:left w:val="single" w:color="000000" w:sz="4"/>
                    <w:bottom w:val="single" w:color="000000" w:sz="4"/>
                    <w:right w:val="single" w:color="000000" w:sz="4"/>
                  </w:tcBorders>
                </w:tcP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常规农药</w:t>
                  </w:r>
                  <w:r>
                    <w:rPr>
                      <w:rFonts w:ascii="仿宋_GB2312" w:hAnsi="仿宋_GB2312" w:cs="仿宋_GB2312" w:eastAsia="仿宋_GB2312"/>
                      <w:sz w:val="24"/>
                    </w:rPr>
                    <w:t>（</w:t>
                  </w:r>
                  <w:r>
                    <w:rPr>
                      <w:rFonts w:ascii="仿宋_GB2312" w:hAnsi="仿宋_GB2312" w:cs="仿宋_GB2312" w:eastAsia="仿宋_GB2312"/>
                      <w:sz w:val="24"/>
                    </w:rPr>
                    <w:t>51种）</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敌敌畏、杀螟硫磷、丙溴磷、马拉硫磷、亚胺硫磷、辛硫磷、氯氰菊酯、氰戊菊酯、溴氰菊酯、甲氰菊酯、联苯菊酯、氯氟氰菊酯、</w:t>
                  </w:r>
                </w:p>
                <w:p>
                  <w:pPr>
                    <w:pStyle w:val="null3"/>
                    <w:jc w:val="left"/>
                  </w:pPr>
                  <w:r>
                    <w:rPr>
                      <w:rFonts w:ascii="仿宋_GB2312" w:hAnsi="仿宋_GB2312" w:cs="仿宋_GB2312" w:eastAsia="仿宋_GB2312"/>
                      <w:sz w:val="24"/>
                    </w:rPr>
                    <w:t>氟氯氰菊酯、氯吡脲、除虫脲、灭幼脲、吡虫啉、啶虫脒、哒螨灵、阿维菌素、甲氨基阿维菌素苯甲酸盐、虫螨腈、噻虫嗪、氟啶脲、异菌脲、五氯硝基苯、三唑酮、百菌清、腐霉利、乙烯菌核利、多菌灵、苯醚甲环唑、嘧霉胺、烯酰吗啉、咪鲜胺、嘧菌酯、二甲戊灵、灭蝇胺、甲霜灵、霜霉威、氯虫苯甲酰胺、氯菊酯（异构体之和）、醚菊酯、虫酰肼、吡唑醚菌酯、二嗪磷、伏杀硫磷、甲萘威、氟胺氰菊酯、三唑醇、多效唑</w:t>
                  </w:r>
                </w:p>
              </w:tc>
              <w:tc>
                <w:tcPr>
                  <w:tcW w:type="dxa" w:w="750"/>
                  <w:vMerge/>
                  <w:tcBorders>
                    <w:top w:val="none" w:color="000000" w:sz="4"/>
                    <w:left w:val="single" w:color="000000" w:sz="4"/>
                    <w:bottom w:val="single" w:color="000000" w:sz="4"/>
                    <w:right w:val="single" w:color="000000" w:sz="4"/>
                  </w:tcBorders>
                </w:tcP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判定依据</w:t>
                  </w:r>
                </w:p>
              </w:tc>
              <w:tc>
                <w:tcPr>
                  <w:tcW w:type="dxa" w:w="21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种植业产品中的农药残留按《食品安全国家标准食品中农药</w:t>
                  </w:r>
                  <w:r>
                    <w:rPr>
                      <w:rFonts w:ascii="仿宋_GB2312" w:hAnsi="仿宋_GB2312" w:cs="仿宋_GB2312" w:eastAsia="仿宋_GB2312"/>
                      <w:sz w:val="24"/>
                    </w:rPr>
                    <w:t>最大残留限量》</w:t>
                  </w:r>
                  <w:r>
                    <w:rPr>
                      <w:rFonts w:ascii="仿宋_GB2312" w:hAnsi="仿宋_GB2312" w:cs="仿宋_GB2312" w:eastAsia="仿宋_GB2312"/>
                      <w:sz w:val="24"/>
                    </w:rPr>
                    <w:t>(GB2763-2021)  和《食品安全国家标准食品中 2,4-滴丁酸钠盐等112种农药最大残留限量》(GB 2763.1-2022) 进行判定，有一项指标不合格的，即判定为不合格。</w:t>
                  </w:r>
                </w:p>
              </w:tc>
            </w:tr>
          </w:tbl>
          <w:p>
            <w:pPr>
              <w:pStyle w:val="null3"/>
              <w:ind w:firstLine="562"/>
              <w:jc w:val="left"/>
            </w:pPr>
            <w:r>
              <w:rPr>
                <w:rFonts w:ascii="仿宋_GB2312" w:hAnsi="仿宋_GB2312" w:cs="仿宋_GB2312" w:eastAsia="仿宋_GB2312"/>
                <w:sz w:val="28"/>
                <w:b/>
              </w:rPr>
              <w:t>四、结果报告</w:t>
            </w:r>
          </w:p>
          <w:p>
            <w:pPr>
              <w:pStyle w:val="null3"/>
              <w:jc w:val="both"/>
            </w:pPr>
            <w:r>
              <w:rPr>
                <w:rFonts w:ascii="仿宋_GB2312" w:hAnsi="仿宋_GB2312" w:cs="仿宋_GB2312" w:eastAsia="仿宋_GB2312"/>
                <w:sz w:val="24"/>
              </w:rPr>
              <w:t>要严格按照规定的检测方法，统一判定原则，检测过程要做试剂空白和加标回收，对监测不合格样品要做确认试验。所有结果均出具纸质版报告，其中未检出的需注明检出限</w:t>
            </w:r>
            <w:r>
              <w:rPr>
                <w:rFonts w:ascii="仿宋_GB2312" w:hAnsi="仿宋_GB2312" w:cs="仿宋_GB2312" w:eastAsia="仿宋_GB2312"/>
                <w:sz w:val="24"/>
              </w:rPr>
              <w:t>/定量限，检出的需注明具体数值，超标样品进行复检，提供完整的原始记录、确证图谱、溯源情况等信息。</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44"/>
                <w:b/>
              </w:rPr>
              <w:t>商务要求</w:t>
            </w:r>
          </w:p>
          <w:p>
            <w:pPr>
              <w:pStyle w:val="null3"/>
              <w:ind w:firstLine="480"/>
              <w:jc w:val="both"/>
            </w:pPr>
            <w:r>
              <w:rPr>
                <w:rFonts w:ascii="仿宋_GB2312" w:hAnsi="仿宋_GB2312" w:cs="仿宋_GB2312" w:eastAsia="仿宋_GB2312"/>
                <w:sz w:val="24"/>
              </w:rPr>
              <w:t>一、服务期限及地点：</w:t>
            </w:r>
          </w:p>
          <w:p>
            <w:pPr>
              <w:pStyle w:val="null3"/>
              <w:ind w:left="-60" w:firstLine="720"/>
              <w:jc w:val="both"/>
            </w:pPr>
            <w:r>
              <w:rPr>
                <w:rFonts w:ascii="仿宋_GB2312" w:hAnsi="仿宋_GB2312" w:cs="仿宋_GB2312" w:eastAsia="仿宋_GB2312"/>
                <w:sz w:val="24"/>
              </w:rPr>
              <w:t>1、服务期限：自合同签订之日起一年。</w:t>
            </w:r>
          </w:p>
          <w:p>
            <w:pPr>
              <w:pStyle w:val="null3"/>
              <w:ind w:left="-60" w:firstLine="720"/>
              <w:jc w:val="both"/>
            </w:pPr>
            <w:r>
              <w:rPr>
                <w:rFonts w:ascii="仿宋_GB2312" w:hAnsi="仿宋_GB2312" w:cs="仿宋_GB2312" w:eastAsia="仿宋_GB2312"/>
                <w:sz w:val="24"/>
              </w:rPr>
              <w:t>2、服务地点：临潼区</w:t>
            </w:r>
          </w:p>
          <w:p>
            <w:pPr>
              <w:pStyle w:val="null3"/>
              <w:ind w:left="-60" w:firstLine="720"/>
              <w:jc w:val="both"/>
            </w:pPr>
            <w:r>
              <w:rPr>
                <w:rFonts w:ascii="仿宋_GB2312" w:hAnsi="仿宋_GB2312" w:cs="仿宋_GB2312" w:eastAsia="仿宋_GB2312"/>
                <w:sz w:val="24"/>
              </w:rPr>
              <w:t>3、服务质量：合格</w:t>
            </w:r>
          </w:p>
          <w:p>
            <w:pPr>
              <w:pStyle w:val="null3"/>
              <w:ind w:left="-60" w:firstLine="720"/>
              <w:jc w:val="both"/>
            </w:pPr>
            <w:r>
              <w:rPr>
                <w:rFonts w:ascii="仿宋_GB2312" w:hAnsi="仿宋_GB2312" w:cs="仿宋_GB2312" w:eastAsia="仿宋_GB2312"/>
                <w:sz w:val="24"/>
              </w:rPr>
              <w:t>4、服务范围：完成本次采购项目所有任务。</w:t>
            </w:r>
          </w:p>
          <w:p>
            <w:pPr>
              <w:pStyle w:val="null3"/>
              <w:ind w:left="-60" w:firstLine="720"/>
              <w:jc w:val="both"/>
            </w:pPr>
            <w:r>
              <w:rPr>
                <w:rFonts w:ascii="仿宋_GB2312" w:hAnsi="仿宋_GB2312" w:cs="仿宋_GB2312" w:eastAsia="仿宋_GB2312"/>
                <w:sz w:val="24"/>
              </w:rPr>
              <w:t>5、服务要求:满足本次采购项目所有服务内容。</w:t>
            </w:r>
          </w:p>
          <w:p>
            <w:pPr>
              <w:pStyle w:val="null3"/>
              <w:ind w:firstLine="480"/>
              <w:jc w:val="both"/>
            </w:pPr>
            <w:r>
              <w:rPr>
                <w:rFonts w:ascii="仿宋_GB2312" w:hAnsi="仿宋_GB2312" w:cs="仿宋_GB2312" w:eastAsia="仿宋_GB2312"/>
                <w:sz w:val="24"/>
              </w:rPr>
              <w:t>二、付款方式：</w:t>
            </w:r>
            <w:r>
              <w:rPr>
                <w:rFonts w:ascii="仿宋_GB2312" w:hAnsi="仿宋_GB2312" w:cs="仿宋_GB2312" w:eastAsia="仿宋_GB2312"/>
                <w:sz w:val="24"/>
              </w:rPr>
              <w:t>合同签订后，达到付款条件起</w:t>
            </w:r>
            <w:r>
              <w:rPr>
                <w:rFonts w:ascii="仿宋_GB2312" w:hAnsi="仿宋_GB2312" w:cs="仿宋_GB2312" w:eastAsia="仿宋_GB2312"/>
                <w:sz w:val="24"/>
              </w:rPr>
              <w:t>30日内，支付合同总金额的40%；</w:t>
            </w:r>
            <w:r>
              <w:rPr>
                <w:rFonts w:ascii="仿宋_GB2312" w:hAnsi="仿宋_GB2312" w:cs="仿宋_GB2312" w:eastAsia="仿宋_GB2312"/>
                <w:sz w:val="24"/>
              </w:rPr>
              <w:t>项目完成后</w:t>
            </w:r>
            <w:r>
              <w:rPr>
                <w:rFonts w:ascii="仿宋_GB2312" w:hAnsi="仿宋_GB2312" w:cs="仿宋_GB2312" w:eastAsia="仿宋_GB2312"/>
                <w:sz w:val="24"/>
              </w:rPr>
              <w:t>，达到付款条件起</w:t>
            </w:r>
            <w:r>
              <w:rPr>
                <w:rFonts w:ascii="仿宋_GB2312" w:hAnsi="仿宋_GB2312" w:cs="仿宋_GB2312" w:eastAsia="仿宋_GB2312"/>
                <w:sz w:val="24"/>
              </w:rPr>
              <w:t>30日内，支付合同总金额的50.00%；</w:t>
            </w:r>
            <w:r>
              <w:rPr>
                <w:rFonts w:ascii="仿宋_GB2312" w:hAnsi="仿宋_GB2312" w:cs="仿宋_GB2312" w:eastAsia="仿宋_GB2312"/>
                <w:sz w:val="24"/>
              </w:rPr>
              <w:t>项目</w:t>
            </w:r>
            <w:r>
              <w:rPr>
                <w:rFonts w:ascii="仿宋_GB2312" w:hAnsi="仿宋_GB2312" w:cs="仿宋_GB2312" w:eastAsia="仿宋_GB2312"/>
                <w:sz w:val="24"/>
              </w:rPr>
              <w:t>验收合格后，达到付款条件起</w:t>
            </w:r>
            <w:r>
              <w:rPr>
                <w:rFonts w:ascii="仿宋_GB2312" w:hAnsi="仿宋_GB2312" w:cs="仿宋_GB2312" w:eastAsia="仿宋_GB2312"/>
                <w:sz w:val="24"/>
              </w:rPr>
              <w:t>30日内，支付合同总金额的10.00%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注：商务要求为实质性要求，不得负偏离。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合同执行中发生争议的，当事人双方应协商解决，协商达不成一致时，可向当地仲裁委员会申请仲裁或者向人民法院提请诉讼。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合同执行中发生争议的，当事人双方应协商解决，协商达不成一致时，可向当地仲裁委员会申请仲裁或者向人民法院提请诉讼。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各供应商所有分项报价（与最后磋商报价比例一致）同比例下浮。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或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或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有效的资格证明主体</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提供2025年至今已缴纳的1个月的纳税证明或完税证明，依法免税的单位应提供相关证明材料。此项可提供基本资格条件承诺函。供应商需在项目电子化交易系统中按要求上传相应证明文件并进行电子签章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及被授权代表开标截止前三个月内任意一个月在本单位的社会保险缴纳证明，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供应商须提供检验检测机构资质认定证书CMA（包含证书完整附表)及农产品质量安全检测机构考核合格证书CATL。供应商需在项目电子化交易系统中按要求上传相应证明文件并进行电子签章。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本合同包不接受联合体投标，提供非联合体投标声明。供应商需在项目电子化交易系统中按要求上传相应证明文件并进行电子签章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提供2025年至今已缴纳的1个月的纳税证明或完税证明，依法免税的单位应提供相关证明材料。此项可提供基本资格条件承诺函。供应商需在项目电子化交易系统中按要求上传相应证明文件并进行电子签章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及被授权代表开标截止前三个月内任意一个月在本单位的社会保险缴纳证明，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供应商须提供检验检测机构资质认定证书CMA（包含证书完整附表)及农产品质量安全检测机构考核合格证书CATL。供应商需在项目电子化交易系统中按要求上传相应证明文件并进行电子签章。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本合同包不接受联合体投标，提供非联合体投标声明。供应商需在项目电子化交易系统中按要求上传相应证明文件并进行电子签章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供应商对本项目的理解及分析， ①方案内容全面详细、阐述条理清晰，具有针对性，切实可行，能有效保障本项目实施，满足采购人要求得6分； ②方案内容较完善、合理性一般、内容表述不严谨、项目方案、与项目需求可行性一般，得3分； ③方案内容不完善、不合理、内容表述前后不一致、套用其他项目方案、与项目需求不匹配、不利于项目实施得1分；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供应商对本项目服务过程重难点分析及应对措施， ①方案内容全面详细、阐述条理清晰，具有针对性，切实可行，能有效保障本项目实施，满足采购人要求得6分； ②方案内容较完善、合理性一般、内容表述不严谨、项目方案、与项目需求可行性一般，得3分； ③方案内容不完善、不合理、内容表述前后不一致、套用其他项目方案、与项目需求不匹配、不利于项目实施得1分；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供应商对本项目实施计划安排， ①方案内容全面详细、阐述条理清晰，具有针对性，切实可行，能有效保障本项目实施，满足采购人要求得6分； ②方案内容较完善、合理性一般、内容表述不严谨、项目方案、与项目需求可行性一般，得3分； ③方案内容不完善、不合理、内容表述前后不一致、套用其他项目方案、与项目需求不匹配、不利于项目实施得1分；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实施方案4</w:t>
            </w:r>
          </w:p>
        </w:tc>
        <w:tc>
          <w:tcPr>
            <w:tcW w:type="dxa" w:w="2492"/>
          </w:tcPr>
          <w:p>
            <w:pPr>
              <w:pStyle w:val="null3"/>
            </w:pPr>
            <w:r>
              <w:rPr>
                <w:rFonts w:ascii="仿宋_GB2312" w:hAnsi="仿宋_GB2312" w:cs="仿宋_GB2312" w:eastAsia="仿宋_GB2312"/>
              </w:rPr>
              <w:t>供应商对本项目作业进度安排及保证措施， ①方案内容全面详细、阐述条理清晰，具有针对性，切实可行，能有效保障本项目实施，满足采购人要求得6分； ②方案内容较完善、合理性一般、内容表述不严谨、项目方案、与项目需求可行性一般，得3分； ③方案内容不完善、不合理、内容表述前后不一致、套用其他项目方案、与项目需求不匹配、不利于项目实施得1分；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实施方案5</w:t>
            </w:r>
          </w:p>
        </w:tc>
        <w:tc>
          <w:tcPr>
            <w:tcW w:type="dxa" w:w="2492"/>
          </w:tcPr>
          <w:p>
            <w:pPr>
              <w:pStyle w:val="null3"/>
            </w:pPr>
            <w:r>
              <w:rPr>
                <w:rFonts w:ascii="仿宋_GB2312" w:hAnsi="仿宋_GB2312" w:cs="仿宋_GB2312" w:eastAsia="仿宋_GB2312"/>
              </w:rPr>
              <w:t>供应商对本项目效益评估与风险控制， ①方案内容全面详细、阐述条理清晰，具有针对性，切实可行，能有效保障本项目实施，满足采购人要求得6分； ②方案内容较完善、合理性一般、内容表述不严谨、项目方案、与项目需求可行性一般，得3分； ③方案内容不完善、不合理、内容表述前后不一致、套用其他项目方案、与项目需求不匹配、不利于项目实施得1分；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仪器配备</w:t>
            </w:r>
          </w:p>
        </w:tc>
        <w:tc>
          <w:tcPr>
            <w:tcW w:type="dxa" w:w="2492"/>
          </w:tcPr>
          <w:p>
            <w:pPr>
              <w:pStyle w:val="null3"/>
            </w:pPr>
            <w:r>
              <w:rPr>
                <w:rFonts w:ascii="仿宋_GB2312" w:hAnsi="仿宋_GB2312" w:cs="仿宋_GB2312" w:eastAsia="仿宋_GB2312"/>
              </w:rPr>
              <w:t>针对本项目配备的检测仪器的技术指标、配置、功能、质量标准、检测标准符合或高于国家标准（提供购置发票、相关图片和仪器检定或校准合格证书，复印件加盖单位公章为准），根据响应程度： 检测仪器设备完全满足本项目检测要求得6分； 检测仪器设备基本满足本项目检测要求得3分； 检测仪器设备无法完全满足本项目检测要求得1分； 无描述不得分。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项目部人员</w:t>
            </w:r>
          </w:p>
        </w:tc>
        <w:tc>
          <w:tcPr>
            <w:tcW w:type="dxa" w:w="2492"/>
          </w:tcPr>
          <w:p>
            <w:pPr>
              <w:pStyle w:val="null3"/>
            </w:pPr>
            <w:r>
              <w:rPr>
                <w:rFonts w:ascii="仿宋_GB2312" w:hAnsi="仿宋_GB2312" w:cs="仿宋_GB2312" w:eastAsia="仿宋_GB2312"/>
              </w:rPr>
              <w:t>拟派项目组成员，成员分工，专业素养，岗位职责（提供相关证明材料复印件加盖公章）； 拟投入项目人员设置合理，管理人员及技术人员配备数量充足、专业素养强大、人员职责明确、分工清晰合理、相关项目实施经验丰富，得4.0-6.0分； 拟投入项目人员设置较为合理，管理人员及技术人员配备数量较充足、专业素养较强、职责较明确、分工较清晰合理、相关项目实施经验较丰富，得2.0-4.0分； 拟投入项目人员设置一般，管理人员及技术人员配备数量不够充足、专业素养一般、职责不够明确、分工不够清晰合理，不具备相关项目实施经验，得1.0-2.0分； 无描述不得分。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服务质量保证方案</w:t>
            </w:r>
          </w:p>
        </w:tc>
        <w:tc>
          <w:tcPr>
            <w:tcW w:type="dxa" w:w="2492"/>
          </w:tcPr>
          <w:p>
            <w:pPr>
              <w:pStyle w:val="null3"/>
            </w:pPr>
            <w:r>
              <w:rPr>
                <w:rFonts w:ascii="仿宋_GB2312" w:hAnsi="仿宋_GB2312" w:cs="仿宋_GB2312" w:eastAsia="仿宋_GB2312"/>
              </w:rPr>
              <w:t>供应商针对本项目提供的服务质量保证方案（至少包括：①质量目标②质量管理体系③质量保证措施④质量保证承诺等），按其响应程度赋分； ①方案详细具体、无漏项、贴合实际、切实可行，满足采购人要求的得12分； ②方案一般、方案描述夸大其词、方案复制粘贴无任何操作性得8分； ③方案无法满足采购人要求的得4分；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服务安全保障方案</w:t>
            </w:r>
          </w:p>
        </w:tc>
        <w:tc>
          <w:tcPr>
            <w:tcW w:type="dxa" w:w="2492"/>
          </w:tcPr>
          <w:p>
            <w:pPr>
              <w:pStyle w:val="null3"/>
            </w:pPr>
            <w:r>
              <w:rPr>
                <w:rFonts w:ascii="仿宋_GB2312" w:hAnsi="仿宋_GB2312" w:cs="仿宋_GB2312" w:eastAsia="仿宋_GB2312"/>
              </w:rPr>
              <w:t>供应商针对本项目提供的服务安全保障方案（至少包括：①安全目标②安全管理体系③安全防范及安全保障措施④安全保证承诺等），按其响应程度赋分； ①方案详细具体、无漏项、贴合实际、切实可行，满足采购人要求的得12分； ②方案一般、方案描述夸大其词、方案复制粘贴无任何操作性得8分； ③方案内容不完善、内容表述前后不一致、与项目需求不匹配、不利于项目实施得4分；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供应商针对本项目提供的应急处置方案（至少包括：①应急组织机构②应急响应流程③作业过程中突发状况的应急处理方案④应急保障措施等），按其响应程度赋分； ①方案详细具体、无漏项、贴合实际、切实可行，满足采购人要求的得12分； ②方案一般、方案描述夸大其词、方案复制粘贴无任何操作性得8分； ③方案内容不完善、内容表述前后不一致、与项目需求不匹配、不利于项目实施得4分；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结合采购需求及要求，供应商结合自身情况提供详尽、周密的安全措施以及针对本项目的全面性、有效性、可靠性和切实可行性等方面的保密措施， 内容全面、详尽，针对性强、可行性强，得3分； 内容无明显错误，能基本满足本次项目要求，有效性一般，针对性一般、可行性一般，得2分； 内容缺项漏项，无法保证采购要求得1分。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有利于本项目工作顺利进行的合理化建议详细合理， 针对性强得3分； 合理化建议较合理，针对性一般得2分； 合理化建议简洁，针对性较差得1分；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供应商提供同类项目业绩，每提供一个计2分，满分6分（以中标通知书或合同为准）。未提供不得分。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供应商类似项目业绩一览表.docx</w:t>
            </w:r>
          </w:p>
          <w:p>
            <w:pPr>
              <w:pStyle w:val="null3"/>
            </w:pPr>
            <w:r>
              <w:rPr>
                <w:rFonts w:ascii="仿宋_GB2312" w:hAnsi="仿宋_GB2312" w:cs="仿宋_GB2312" w:eastAsia="仿宋_GB2312"/>
              </w:rPr>
              <w:t>供应商认为有必要补充说明的事项.docx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供应商对本项目的理解及分析， ①方案内容全面详细、阐述条理清晰，具有针对性，切实可行，能有效保障本项目实施，满足采购人要求得6分； ②方案内容较完善、合理性一般、内容表述不严谨、项目方案、与项目需求可行性一般，得3分； ③方案内容不完善、不合理、内容表述前后不一致、套用其他项目方案、与项目需求不匹配、不利于项目实施得1分；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供应商对本项目服务过程重难点分析及应对措施， ①方案内容全面详细、阐述条理清晰，具有针对性，切实可行，能有效保障本项目实施，满足采购人要求得6分； ②方案内容较完善、合理性一般、内容表述不严谨、项目方案、与项目需求可行性一般，得3分； ③方案内容不完善、不合理、内容表述前后不一致、套用其他项目方案、与项目需求不匹配、不利于项目实施得1分；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供应商对本项目实施计划安排， ①方案内容全面详细、阐述条理清晰，具有针对性，切实可行，能有效保障本项目实施，满足采购人要求得6分； ②方案内容较完善、合理性一般、内容表述不严谨、项目方案、与项目需求可行性一般，得3分； ③方案内容不完善、不合理、内容表述前后不一致、套用其他项目方案、与项目需求不匹配、不利于项目实施得1分；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实施方案4</w:t>
            </w:r>
          </w:p>
        </w:tc>
        <w:tc>
          <w:tcPr>
            <w:tcW w:type="dxa" w:w="2492"/>
          </w:tcPr>
          <w:p>
            <w:pPr>
              <w:pStyle w:val="null3"/>
            </w:pPr>
            <w:r>
              <w:rPr>
                <w:rFonts w:ascii="仿宋_GB2312" w:hAnsi="仿宋_GB2312" w:cs="仿宋_GB2312" w:eastAsia="仿宋_GB2312"/>
              </w:rPr>
              <w:t>供应商对本项目作业进度安排及保证措施， ①方案内容全面详细、阐述条理清晰，具有针对性，切实可行，能有效保障本项目实施，满足采购人要求得6分； ②方案内容较完善、合理性一般、内容表述不严谨、项目方案、与项目需求可行性一般，得3分； ③方案内容不完善、不合理、内容表述前后不一致、套用其他项目方案、与项目需求不匹配、不利于项目实施得1分；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实施方案5</w:t>
            </w:r>
          </w:p>
        </w:tc>
        <w:tc>
          <w:tcPr>
            <w:tcW w:type="dxa" w:w="2492"/>
          </w:tcPr>
          <w:p>
            <w:pPr>
              <w:pStyle w:val="null3"/>
            </w:pPr>
            <w:r>
              <w:rPr>
                <w:rFonts w:ascii="仿宋_GB2312" w:hAnsi="仿宋_GB2312" w:cs="仿宋_GB2312" w:eastAsia="仿宋_GB2312"/>
              </w:rPr>
              <w:t>供应商对本项目效益评估与风险控制， ①方案内容全面详细、阐述条理清晰，具有针对性，切实可行，能有效保障本项目实施，满足采购人要求得6分； ②方案内容较完善、合理性一般、内容表述不严谨、项目方案、与项目需求可行性一般，得3分； ③方案内容不完善、不合理、内容表述前后不一致、套用其他项目方案、与项目需求不匹配、不利于项目实施得1分；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仪器配备</w:t>
            </w:r>
          </w:p>
        </w:tc>
        <w:tc>
          <w:tcPr>
            <w:tcW w:type="dxa" w:w="2492"/>
          </w:tcPr>
          <w:p>
            <w:pPr>
              <w:pStyle w:val="null3"/>
            </w:pPr>
            <w:r>
              <w:rPr>
                <w:rFonts w:ascii="仿宋_GB2312" w:hAnsi="仿宋_GB2312" w:cs="仿宋_GB2312" w:eastAsia="仿宋_GB2312"/>
              </w:rPr>
              <w:t>针对本项目配备的检测仪器的技术指标、配置、功能、质量标准、检测标准符合或高于国家标准（提供购置发票、相关图片和仪器检定或校准合格证书，复印件加盖单位公章为准），根据响应程度： 检测仪器设备完全满足本项目检测要求得6分； 检测仪器设备基本满足本项目检测要求得3分； 检测仪器设备无法完全满足本项目检测要求得1分； 无描述不得分。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项目部人员</w:t>
            </w:r>
          </w:p>
        </w:tc>
        <w:tc>
          <w:tcPr>
            <w:tcW w:type="dxa" w:w="2492"/>
          </w:tcPr>
          <w:p>
            <w:pPr>
              <w:pStyle w:val="null3"/>
            </w:pPr>
            <w:r>
              <w:rPr>
                <w:rFonts w:ascii="仿宋_GB2312" w:hAnsi="仿宋_GB2312" w:cs="仿宋_GB2312" w:eastAsia="仿宋_GB2312"/>
              </w:rPr>
              <w:t>拟派项目组成员，成员分工，专业素养，岗位职责（提供相关证明材料复印件加盖公章）； 拟投入项目人员设置合理，管理人员及技术人员配备数量充足、专业素养强大、人员职责明确、分工清晰合理、相关项目实施经验丰富，得4.0-6.0分； 拟投入项目人员设置较为合理，管理人员及技术人员配备数量较充足、专业素养较强、职责较明确、分工较清晰合理、相关项目实施经验较丰富，得2.0-4.0分； 拟投入项目人员设置一般，管理人员及技术人员配备数量不够充足、专业素养一般、职责不够明确、分工不够清晰合理，不具备相关项目实施经验，得1.0-2.0分； 无描述不得分。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服务质量保证方案</w:t>
            </w:r>
          </w:p>
        </w:tc>
        <w:tc>
          <w:tcPr>
            <w:tcW w:type="dxa" w:w="2492"/>
          </w:tcPr>
          <w:p>
            <w:pPr>
              <w:pStyle w:val="null3"/>
            </w:pPr>
            <w:r>
              <w:rPr>
                <w:rFonts w:ascii="仿宋_GB2312" w:hAnsi="仿宋_GB2312" w:cs="仿宋_GB2312" w:eastAsia="仿宋_GB2312"/>
              </w:rPr>
              <w:t>供应商针对本项目提供的服务质量保证方案（至少包括：①质量目标②质量管理体系③质量保证措施④质量保证承诺等），按其响应程度赋分； ①方案详细具体、无漏项、贴合实际、切实可行，满足采购人要求的得12分； ②方案一般、方案描述夸大其词、方案复制粘贴无任何操作性得8分； ③方案无法满足采购人要求的得4分；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服务安全保障方案</w:t>
            </w:r>
          </w:p>
        </w:tc>
        <w:tc>
          <w:tcPr>
            <w:tcW w:type="dxa" w:w="2492"/>
          </w:tcPr>
          <w:p>
            <w:pPr>
              <w:pStyle w:val="null3"/>
            </w:pPr>
            <w:r>
              <w:rPr>
                <w:rFonts w:ascii="仿宋_GB2312" w:hAnsi="仿宋_GB2312" w:cs="仿宋_GB2312" w:eastAsia="仿宋_GB2312"/>
              </w:rPr>
              <w:t>供应商针对本项目提供的服务安全保障方案（至少包括：①安全目标②安全管理体系③安全防范及安全保障措施④安全保证承诺等），按其响应程度赋分； ①方案详细具体、无漏项、贴合实际、切实可行，满足采购人要求的得12分； ②方案一般、方案描述夸大其词、方案复制粘贴无任何操作性得8分； ③方案内容不完善、内容表述前后不一致、与项目需求不匹配、不利于项目实施得4分；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供应商针对本项目提供的应急处置方案（至少包括：①应急组织机构②应急响应流程③作业过程中突发状况的应急处理方案④应急保障措施等），按其响应程度赋分； ①方案详细具体、无漏项、贴合实际、切实可行，满足采购人要求的得12分； ②方案一般、方案描述夸大其词、方案复制粘贴无任何操作性得8分； ③方案内容不完善、内容表述前后不一致、与项目需求不匹配、不利于项目实施得4分；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结合采购需求及要求，供应商结合自身情况提供详尽、周密的安全措施以及针对本项目的全面性、有效性、可靠性和切实可行性等方面的保密措施， 内容全面、详尽，针对性强、可行性强，得3分； 内容无明显错误，能基本满足本次项目要求，有效性一般，针对性一般、可行性一般，得2分； 内容缺项漏项，无法保证采购要求得1分。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有利于本项目工作顺利进行的合理化建议详细合理， 针对性强得3分； 合理化建议较合理，针对性一般得2分； 合理化建议简洁，针对性较差得1分；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供应商提供同类项目业绩，每提供一个计2分，满分6分（以中标通知书或合同为准）。未提供不得分。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