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版本号：FHGJ-ZZ-2025-06920250923002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2025年第一批市级水利发展建设专项资金西安市临潼区渭河支流河道堤防维修养护项目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FHGJ-ZZ-2025-069</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2025年第一批市级水利发展建设专项资金西安市临潼区渭河支流河道堤防维修养护项目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FHGJ-ZZ-2025-069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2025年第一批市级水利发展建设专项资金西安市临潼区渭河支流河道堤防维修养护项目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第一批市级水利发展建设专项资金西安市临潼区渭河支流河道堤防维修养护项目位于陕西省西安市临潼区。项目区工程建设内容为土体养护、杂草清理、堤坡绿化植物维护、行道林栽植、行道林养护、日常巡查、摄像头、垃圾桶、标志牌、防溺亡救生设施、日常保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采购包1（2025年第一批市级水利发展建设专项资金西安市临潼区渭河支流河道堤防维修养护项目）：属于专门面向中小企业采购。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2、供应商信用记录：供应商不得为“信用中国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13679223774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15109299905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采购包1：553,471.60元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联系人：张静</w:t>
      </w:r>
    </w:p>
    <w:p>
      <w:pPr>
        <w:pStyle w:val="null3"/>
      </w:pPr>
      <w:r>
        <w:rPr>
          <w:rFonts w:ascii="仿宋_GB2312" w:hAnsi="仿宋_GB2312" w:cs="仿宋_GB2312" w:eastAsia="仿宋_GB2312"/>
        </w:rPr>
        <w:t>联系电话：15109299905</w:t>
      </w:r>
    </w:p>
    <w:p>
      <w:pPr>
        <w:pStyle w:val="null3"/>
      </w:pPr>
      <w:r>
        <w:rPr>
          <w:rFonts w:ascii="仿宋_GB2312" w:hAnsi="仿宋_GB2312" w:cs="仿宋_GB2312" w:eastAsia="仿宋_GB2312"/>
        </w:rPr>
        <w:t>地址：陕西省西安市碑林区长安北路（南稍门十字）大话南门壹中心13楼1309室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第一批市级水利发展建设专项资金西安市临潼区渭河支流河道堤防维修养护项目位于陕西省西安市临潼区。项目区工程建设内容为土体养护、杂草清理、堤坡绿化植物维护、行道林栽植、行道林养护、日常巡查、摄像头、垃圾桶、标志牌、防溺亡救生设施、日常保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553,471.60</w:t>
      </w:r>
    </w:p>
    <w:p>
      <w:pPr>
        <w:pStyle w:val="null3"/>
      </w:pPr>
      <w:r>
        <w:rPr>
          <w:rFonts w:ascii="仿宋_GB2312" w:hAnsi="仿宋_GB2312" w:cs="仿宋_GB2312" w:eastAsia="仿宋_GB2312"/>
        </w:rPr>
        <w:t>采购包最高限价（元）: 553,471.60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西安市临潼区渭河支流河道堤防维修养护项目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553,471.60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标的名称：西安市临潼区渭河支流河道堤防维修养护项目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2025年第一批市级水利发展建设专项资金项目西安市临潼区渭河支流河道堤防维修养护项目，该工程主要为石川河、零河堤防维修养护，包括土体养护、杂草清理、堤坡绿化植物维护、行道林栽植、行道林养护、日常巡查、摄像头、垃圾桶、标志牌、防溺亡救生设施、日常保洁等内容，以保障堤防安全完整、正常运行。</w:t>
            </w:r>
          </w:p>
          <w:p>
            <w:pPr>
              <w:pStyle w:val="null3"/>
              <w:jc w:val="both"/>
            </w:pPr>
            <w:r>
              <w:rPr>
                <w:rFonts w:ascii="仿宋_GB2312" w:hAnsi="仿宋_GB2312" w:cs="仿宋_GB2312" w:eastAsia="仿宋_GB2312"/>
              </w:rPr>
              <w:t>二、维修养护内容</w:t>
            </w:r>
          </w:p>
          <w:p>
            <w:pPr>
              <w:pStyle w:val="null3"/>
              <w:jc w:val="both"/>
            </w:pPr>
            <w:r>
              <w:rPr>
                <w:rFonts w:ascii="仿宋_GB2312" w:hAnsi="仿宋_GB2312" w:cs="仿宋_GB2312" w:eastAsia="仿宋_GB2312"/>
              </w:rPr>
              <w:t>1、实施范围</w:t>
            </w:r>
          </w:p>
          <w:p>
            <w:pPr>
              <w:pStyle w:val="null3"/>
              <w:jc w:val="both"/>
            </w:pPr>
            <w:r>
              <w:rPr>
                <w:rFonts w:ascii="仿宋_GB2312" w:hAnsi="仿宋_GB2312" w:cs="仿宋_GB2312" w:eastAsia="仿宋_GB2312"/>
              </w:rPr>
              <w:t>石川河堤防维修养护段为已治理段</w:t>
            </w:r>
            <w:r>
              <w:rPr>
                <w:rFonts w:ascii="仿宋_GB2312" w:hAnsi="仿宋_GB2312" w:cs="仿宋_GB2312" w:eastAsia="仿宋_GB2312"/>
              </w:rPr>
              <w:t>0.65km，起始于石川河高油路交口桥，至渭河河堤路处结束。</w:t>
            </w:r>
          </w:p>
          <w:p>
            <w:pPr>
              <w:pStyle w:val="null3"/>
              <w:jc w:val="both"/>
            </w:pPr>
            <w:r>
              <w:rPr>
                <w:rFonts w:ascii="仿宋_GB2312" w:hAnsi="仿宋_GB2312" w:cs="仿宋_GB2312" w:eastAsia="仿宋_GB2312"/>
              </w:rPr>
              <w:t>零河堤防维修养护段为零口重点示范镇段</w:t>
            </w:r>
            <w:r>
              <w:rPr>
                <w:rFonts w:ascii="仿宋_GB2312" w:hAnsi="仿宋_GB2312" w:cs="仿宋_GB2312" w:eastAsia="仿宋_GB2312"/>
              </w:rPr>
              <w:t>3km。</w:t>
            </w:r>
          </w:p>
          <w:p>
            <w:pPr>
              <w:pStyle w:val="null3"/>
              <w:jc w:val="both"/>
            </w:pPr>
            <w:r>
              <w:rPr>
                <w:rFonts w:ascii="仿宋_GB2312" w:hAnsi="仿宋_GB2312" w:cs="仿宋_GB2312" w:eastAsia="仿宋_GB2312"/>
              </w:rPr>
              <w:t>2、维修养护内容</w:t>
            </w:r>
          </w:p>
          <w:p>
            <w:pPr>
              <w:pStyle w:val="null3"/>
              <w:jc w:val="both"/>
            </w:pPr>
            <w:r>
              <w:rPr>
                <w:rFonts w:ascii="仿宋_GB2312" w:hAnsi="仿宋_GB2312" w:cs="仿宋_GB2312" w:eastAsia="仿宋_GB2312"/>
              </w:rPr>
              <w:t>(1)养护土方100m3。内容包括填垫陷坑、雨淋沟、残缺土方补充、建筑及生活垃圾清理等。</w:t>
            </w:r>
          </w:p>
          <w:p>
            <w:pPr>
              <w:pStyle w:val="null3"/>
              <w:jc w:val="both"/>
            </w:pPr>
            <w:r>
              <w:rPr>
                <w:rFonts w:ascii="仿宋_GB2312" w:hAnsi="仿宋_GB2312" w:cs="仿宋_GB2312" w:eastAsia="仿宋_GB2312"/>
              </w:rPr>
              <w:t>(2)绿化植物清理。共割草机割草4次，每次清理面积45600m2。</w:t>
            </w:r>
          </w:p>
          <w:p>
            <w:pPr>
              <w:pStyle w:val="null3"/>
              <w:jc w:val="both"/>
            </w:pPr>
            <w:r>
              <w:rPr>
                <w:rFonts w:ascii="仿宋_GB2312" w:hAnsi="仿宋_GB2312" w:cs="仿宋_GB2312" w:eastAsia="仿宋_GB2312"/>
              </w:rPr>
              <w:t>(3)绿化植物维护。维护内容包括浇水、施肥、喷药，维护2次，每次植物维护面积45600m2。</w:t>
            </w:r>
          </w:p>
          <w:p>
            <w:pPr>
              <w:pStyle w:val="null3"/>
              <w:jc w:val="both"/>
            </w:pPr>
            <w:r>
              <w:rPr>
                <w:rFonts w:ascii="仿宋_GB2312" w:hAnsi="仿宋_GB2312" w:cs="仿宋_GB2312" w:eastAsia="仿宋_GB2312"/>
              </w:rPr>
              <w:t>(4)行道林补植及养护，补植女贞600株，养护620株。养护内容包括浇水、喷药、刷白、施肥、修剪等。</w:t>
            </w:r>
          </w:p>
          <w:p>
            <w:pPr>
              <w:pStyle w:val="null3"/>
              <w:jc w:val="both"/>
            </w:pPr>
            <w:r>
              <w:rPr>
                <w:rFonts w:ascii="仿宋_GB2312" w:hAnsi="仿宋_GB2312" w:cs="仿宋_GB2312" w:eastAsia="仿宋_GB2312"/>
              </w:rPr>
              <w:t>(5)日常巡查。对石川河堤防左右岸各0.65km和零河堤防左右岸3.00km堤顶道路进行日常巡查，确保堤顶工程设施安全、正常运行，无缺损、破坏等现象，无扰乱河道秩序的行为发生。</w:t>
            </w:r>
          </w:p>
          <w:p>
            <w:pPr>
              <w:pStyle w:val="null3"/>
              <w:jc w:val="both"/>
            </w:pPr>
            <w:r>
              <w:rPr>
                <w:rFonts w:ascii="仿宋_GB2312" w:hAnsi="仿宋_GB2312" w:cs="仿宋_GB2312" w:eastAsia="仿宋_GB2312"/>
              </w:rPr>
              <w:t>(6)安装摄像头2个。</w:t>
            </w:r>
          </w:p>
          <w:p>
            <w:pPr>
              <w:pStyle w:val="null3"/>
              <w:jc w:val="both"/>
            </w:pPr>
            <w:r>
              <w:rPr>
                <w:rFonts w:ascii="仿宋_GB2312" w:hAnsi="仿宋_GB2312" w:cs="仿宋_GB2312" w:eastAsia="仿宋_GB2312"/>
              </w:rPr>
              <w:t>高清网络摄像机，主码流帧率分辨率</w:t>
            </w:r>
            <w:r>
              <w:rPr>
                <w:rFonts w:ascii="仿宋_GB2312" w:hAnsi="仿宋_GB2312" w:cs="仿宋_GB2312" w:eastAsia="仿宋_GB2312"/>
              </w:rPr>
              <w:t>:【全景】50Hz:25fps(2560×1440);60Hz:30fps(2560×1440)；【细节】50Hz:25fps(1920×1080);60Hz:30fps(1920×1080);太阳能供电设备,输出功率250W，开路电压36.8V；蓄电池，DC12V，100AH蓄电池；电池箱采用耐高温、耐腐蚀、防水地埋电池箱；监控立杆，加厚底板，底法兰尺寸300mm*300mm，厚度10mm，加标准检修孔。立杆采用Q235普通碳素结构热镀锌钢管，品质质保；立杆基础及电池箱基础，基础开挖、混凝土浇筑、预埋留管路等，基础开挖规格0.8*0.8*1.0（长*宽*深，单位米）。</w:t>
            </w:r>
          </w:p>
          <w:p>
            <w:pPr>
              <w:pStyle w:val="null3"/>
              <w:jc w:val="both"/>
            </w:pPr>
            <w:r>
              <w:rPr>
                <w:rFonts w:ascii="仿宋_GB2312" w:hAnsi="仿宋_GB2312" w:cs="仿宋_GB2312" w:eastAsia="仿宋_GB2312"/>
              </w:rPr>
              <w:t>(7)配套野外垃圾桶10个。</w:t>
            </w:r>
          </w:p>
          <w:p>
            <w:pPr>
              <w:pStyle w:val="null3"/>
              <w:jc w:val="both"/>
            </w:pPr>
            <w:r>
              <w:rPr>
                <w:rFonts w:ascii="仿宋_GB2312" w:hAnsi="仿宋_GB2312" w:cs="仿宋_GB2312" w:eastAsia="仿宋_GB2312"/>
              </w:rPr>
              <w:t>规格为：长</w:t>
            </w:r>
            <w:r>
              <w:rPr>
                <w:rFonts w:ascii="仿宋_GB2312" w:hAnsi="仿宋_GB2312" w:cs="仿宋_GB2312" w:eastAsia="仿宋_GB2312"/>
              </w:rPr>
              <w:t>*宽*高：710*570*1070（mm）</w:t>
            </w:r>
          </w:p>
          <w:p>
            <w:pPr>
              <w:pStyle w:val="null3"/>
              <w:jc w:val="both"/>
            </w:pPr>
            <w:r>
              <w:rPr>
                <w:rFonts w:ascii="仿宋_GB2312" w:hAnsi="仿宋_GB2312" w:cs="仿宋_GB2312" w:eastAsia="仿宋_GB2312"/>
              </w:rPr>
              <w:t>整体重量：</w:t>
            </w:r>
            <w:r>
              <w:rPr>
                <w:rFonts w:ascii="仿宋_GB2312" w:hAnsi="仿宋_GB2312" w:cs="仿宋_GB2312" w:eastAsia="仿宋_GB2312"/>
              </w:rPr>
              <w:t>≥16kg，负重：240kg，容量：240升桶壁厚度≥4mm、桶底厚度≥5mm、桶盖厚度≥3mm</w:t>
            </w:r>
          </w:p>
          <w:p>
            <w:pPr>
              <w:pStyle w:val="null3"/>
              <w:jc w:val="both"/>
            </w:pPr>
            <w:r>
              <w:rPr>
                <w:rFonts w:ascii="仿宋_GB2312" w:hAnsi="仿宋_GB2312" w:cs="仿宋_GB2312" w:eastAsia="仿宋_GB2312"/>
              </w:rPr>
              <w:t>(8)安装宣传牌2个。</w:t>
            </w:r>
          </w:p>
          <w:p>
            <w:pPr>
              <w:pStyle w:val="null3"/>
              <w:jc w:val="both"/>
            </w:pPr>
            <w:r>
              <w:rPr>
                <w:rFonts w:ascii="仿宋_GB2312" w:hAnsi="仿宋_GB2312" w:cs="仿宋_GB2312" w:eastAsia="仿宋_GB2312"/>
              </w:rPr>
              <w:t>钢架宣传牌，尺寸为：</w:t>
            </w:r>
            <w:r>
              <w:rPr>
                <w:rFonts w:ascii="仿宋_GB2312" w:hAnsi="仿宋_GB2312" w:cs="仿宋_GB2312" w:eastAsia="仿宋_GB2312"/>
              </w:rPr>
              <w:t>3500*5000（mm）</w:t>
            </w:r>
          </w:p>
          <w:p>
            <w:pPr>
              <w:pStyle w:val="null3"/>
              <w:jc w:val="both"/>
            </w:pPr>
            <w:r>
              <w:rPr>
                <w:rFonts w:ascii="仿宋_GB2312" w:hAnsi="仿宋_GB2312" w:cs="仿宋_GB2312" w:eastAsia="仿宋_GB2312"/>
              </w:rPr>
              <w:t>(9)防溺亡救生设施2套。每套包括警示牌1个（尺寸3*0.8*0.6m），救生物资存放箱1个（尺寸0.8*0.8*0.2m）、救生杆3个（不锈钢伸缩杆4m）、救生衣8件、救生圈8个</w:t>
            </w:r>
          </w:p>
          <w:p>
            <w:pPr>
              <w:pStyle w:val="null3"/>
              <w:jc w:val="both"/>
            </w:pPr>
            <w:r>
              <w:rPr>
                <w:rFonts w:ascii="仿宋_GB2312" w:hAnsi="仿宋_GB2312" w:cs="仿宋_GB2312" w:eastAsia="仿宋_GB2312"/>
              </w:rPr>
              <w:t>(10)日常卫生打扫。保持堤防干净卫生。</w:t>
            </w:r>
          </w:p>
          <w:p>
            <w:pPr>
              <w:pStyle w:val="null3"/>
              <w:jc w:val="both"/>
            </w:pPr>
            <w:r>
              <w:rPr>
                <w:rFonts w:ascii="仿宋_GB2312" w:hAnsi="仿宋_GB2312" w:cs="仿宋_GB2312" w:eastAsia="仿宋_GB2312"/>
              </w:rPr>
              <w:t>三、养护标准</w:t>
            </w:r>
          </w:p>
          <w:p>
            <w:pPr>
              <w:pStyle w:val="null3"/>
              <w:jc w:val="both"/>
            </w:pPr>
            <w:r>
              <w:rPr>
                <w:rFonts w:ascii="仿宋_GB2312" w:hAnsi="仿宋_GB2312" w:cs="仿宋_GB2312" w:eastAsia="仿宋_GB2312"/>
              </w:rPr>
              <w:t>1、行道林、草皮养护</w:t>
            </w:r>
          </w:p>
          <w:p>
            <w:pPr>
              <w:pStyle w:val="null3"/>
              <w:jc w:val="both"/>
            </w:pPr>
            <w:r>
              <w:rPr>
                <w:rFonts w:ascii="仿宋_GB2312" w:hAnsi="仿宋_GB2312" w:cs="仿宋_GB2312" w:eastAsia="仿宋_GB2312"/>
              </w:rPr>
              <w:t>养护标准</w:t>
            </w:r>
          </w:p>
          <w:p>
            <w:pPr>
              <w:pStyle w:val="null3"/>
              <w:jc w:val="both"/>
            </w:pPr>
            <w:r>
              <w:rPr>
                <w:rFonts w:ascii="仿宋_GB2312" w:hAnsi="仿宋_GB2312" w:cs="仿宋_GB2312" w:eastAsia="仿宋_GB2312"/>
              </w:rPr>
              <w:t>堤顶栽植的行道林生长旺盛、整体美观，无枯死、无缺损。堤坡草皮生长良好、无杂草。</w:t>
            </w:r>
          </w:p>
          <w:p>
            <w:pPr>
              <w:pStyle w:val="null3"/>
              <w:jc w:val="both"/>
            </w:pPr>
            <w:r>
              <w:rPr>
                <w:rFonts w:ascii="仿宋_GB2312" w:hAnsi="仿宋_GB2312" w:cs="仿宋_GB2312" w:eastAsia="仿宋_GB2312"/>
              </w:rPr>
              <w:t>养护方法对堤顶栽植的乔木行道林在干旱季节进行浇水；在春季对堤顶树木进行施肥；对部分生长凌乱的树木进行修剪整形；在冬季对堤顶乔木进行刷白保温；对堤坡草皮进行适时修剪除杂草、浇水、喷药等养护。</w:t>
            </w:r>
          </w:p>
          <w:p>
            <w:pPr>
              <w:pStyle w:val="null3"/>
              <w:jc w:val="both"/>
            </w:pPr>
            <w:r>
              <w:rPr>
                <w:rFonts w:ascii="仿宋_GB2312" w:hAnsi="仿宋_GB2312" w:cs="仿宋_GB2312" w:eastAsia="仿宋_GB2312"/>
              </w:rPr>
              <w:t>2、管理设施养护</w:t>
            </w:r>
          </w:p>
          <w:p>
            <w:pPr>
              <w:pStyle w:val="null3"/>
              <w:jc w:val="both"/>
            </w:pPr>
            <w:r>
              <w:rPr>
                <w:rFonts w:ascii="仿宋_GB2312" w:hAnsi="仿宋_GB2312" w:cs="仿宋_GB2312" w:eastAsia="仿宋_GB2312"/>
              </w:rPr>
              <w:t>标志牌文字清晰、完整。摄像头完好运转。</w:t>
            </w:r>
          </w:p>
          <w:p>
            <w:pPr>
              <w:pStyle w:val="null3"/>
              <w:jc w:val="both"/>
            </w:pPr>
            <w:r>
              <w:rPr>
                <w:rFonts w:ascii="仿宋_GB2312" w:hAnsi="仿宋_GB2312" w:cs="仿宋_GB2312" w:eastAsia="仿宋_GB2312"/>
              </w:rPr>
              <w:t>3、堤防日常巡查</w:t>
            </w:r>
          </w:p>
          <w:p>
            <w:pPr>
              <w:pStyle w:val="null3"/>
              <w:jc w:val="both"/>
            </w:pPr>
            <w:r>
              <w:rPr>
                <w:rFonts w:ascii="仿宋_GB2312" w:hAnsi="仿宋_GB2312" w:cs="仿宋_GB2312" w:eastAsia="仿宋_GB2312"/>
              </w:rPr>
              <w:t>对左右岸各</w:t>
            </w:r>
            <w:r>
              <w:rPr>
                <w:rFonts w:ascii="仿宋_GB2312" w:hAnsi="仿宋_GB2312" w:cs="仿宋_GB2312" w:eastAsia="仿宋_GB2312"/>
              </w:rPr>
              <w:t>3.65公里堤防工程进行日常巡查、检查，并对发现的安全隐患等进行及时记录、上报、处置。</w:t>
            </w:r>
          </w:p>
          <w:p>
            <w:pPr>
              <w:pStyle w:val="null3"/>
              <w:jc w:val="both"/>
            </w:pPr>
            <w:r>
              <w:rPr>
                <w:rFonts w:ascii="仿宋_GB2312" w:hAnsi="仿宋_GB2312" w:cs="仿宋_GB2312" w:eastAsia="仿宋_GB2312"/>
              </w:rPr>
              <w:t>4、堤顶保洁</w:t>
            </w:r>
          </w:p>
          <w:p>
            <w:pPr>
              <w:pStyle w:val="null3"/>
              <w:jc w:val="both"/>
            </w:pPr>
            <w:r>
              <w:rPr>
                <w:rFonts w:ascii="仿宋_GB2312" w:hAnsi="仿宋_GB2312" w:cs="仿宋_GB2312" w:eastAsia="仿宋_GB2312"/>
              </w:rPr>
              <w:t>对左右岸各</w:t>
            </w:r>
            <w:r>
              <w:rPr>
                <w:rFonts w:ascii="仿宋_GB2312" w:hAnsi="仿宋_GB2312" w:cs="仿宋_GB2312" w:eastAsia="仿宋_GB2312"/>
              </w:rPr>
              <w:t>3.65公里堤防工程堤顶的垃圾、杂物进行</w:t>
            </w:r>
            <w:r>
              <w:rPr>
                <w:rFonts w:ascii="仿宋_GB2312" w:hAnsi="仿宋_GB2312" w:cs="仿宋_GB2312" w:eastAsia="仿宋_GB2312"/>
              </w:rPr>
              <w:t>四</w:t>
            </w:r>
            <w:r>
              <w:rPr>
                <w:rFonts w:ascii="仿宋_GB2312" w:hAnsi="仿宋_GB2312" w:cs="仿宋_GB2312" w:eastAsia="仿宋_GB2312"/>
              </w:rPr>
              <w:t>、质量验收标准或规范</w:t>
            </w:r>
          </w:p>
          <w:p>
            <w:pPr>
              <w:pStyle w:val="null3"/>
              <w:jc w:val="both"/>
            </w:pPr>
            <w:r>
              <w:rPr>
                <w:rFonts w:ascii="仿宋_GB2312" w:hAnsi="仿宋_GB2312" w:cs="仿宋_GB2312" w:eastAsia="仿宋_GB2312"/>
              </w:rPr>
              <w:t>1、中标单位所提供的项目成果必须经采购人审核验收，符合采购人要求，并达到技术指标先进、质量可靠、配置合理的要求，满足磋商文件要求。</w:t>
            </w:r>
          </w:p>
          <w:p>
            <w:pPr>
              <w:pStyle w:val="null3"/>
              <w:jc w:val="both"/>
            </w:pPr>
            <w:r>
              <w:rPr>
                <w:rFonts w:ascii="仿宋_GB2312" w:hAnsi="仿宋_GB2312" w:cs="仿宋_GB2312" w:eastAsia="仿宋_GB2312"/>
                <w:sz w:val="21"/>
              </w:rPr>
              <w:t>2、服务的质量必须符合国家标准和有关规范，符合市水发【2015】579号文件《渭河西安段堤顶工程维修养护暂行管理办法》、《渭河西安段堤顶工程维修养护标准》的要求。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1、中标单位所提供的项目成果必须经采购人审核验收，符合采购人要求，并达到技术指标先进、质量可靠、配置合理的要求，满足磋商文件要求。 2、服务的质量必须符合国家标准和有关规范，符合市水发【2015】579号文件《渭河西安段堤顶工程维修养护暂行管理办法》、《渭河西安段堤顶工程维修养护标准》的要求。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预留合同总价款3%作为质保金（质保期1年，自竣工验收合格之日起算），质保期满无质量问题或问题已解决</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自本合同生效之日起，双方必须严格履行，按时提供服务。乙方未按约定期限向甲方交付产品的，每逾期一日，按照应付未付货款金额的万分之五支付违约金；甲方未按约定付款的，每逾期一日，按照应付未付金额的万分之五支付违约金。 2.解决争议的方法： 如甲、乙方发生争议，甲乙双方要及时协商解决，协商不成的，向合同签订地人民法院提起诉讼。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随正本密封。若线上电子响应文件与纸质响应文件不一致以电子响应文件为准；若正本和副本不符，以正本为准。 线下递交时间同线上响应文件递交截止时间 ；线下递交文件地点：陕西省西安市碑林区长安北路（南稍门十字）大话南门壹中心13楼1309室。2、本项目中标单位与西安市临潼区防洪排涝及水毁修复项目建设管理处签订工程合同及其他相关文件。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有效的主体资格证明：提供合格有效的法人或者其他组织的营业执照等证明文件，自然人的身份证明；供应商是法人或其他组织的应提供营业执照等证明文件，供应商是自然人的应提供有效的自然人身份证明；（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根据临财函〔2025〕199号《西安市临潼区财政局关于开展政府采购供应商基本资格条件承诺制试点工作的通知》，供应商只需以书面形式提供规定格式的《基本资格条件承诺函》(详见资格证明文件中相关格式)， 如未提供基本资格条件承诺函的，提供2024年经审计的财务审计报告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已标价工程量清单.docx 服务内容及服务邀请应答表 供应商类似项目业绩一览表.docx 中小企业声明函 商务应答表 报价表 资格证明文件.docx 响应文件封面 残疾人福利性单位声明函 标的清单 响应实施方案.docx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堤防维修养护工程整体有深刻认识，表述清晰完整，维修养护总体组织（含土体养护、绿化维护、设施安装、日常巡查保洁等）方案全面详尽，内容规划明确、逻辑严谨，贴合项目实际，针对性及可行性极强，得12分；方案详尽、合理可行，内容规划具体，仅个别细节需优化，针对性及可行性强，得10分；方案详尽、基本合理，内容完整覆盖，执行细节待补充，针对性及可行性较强，得8分；方案较完善，有一定逻辑与可行性，覆盖以上核心内容但深度不足，得5分；方案内容简单笼统，仅提及以上核心内容且无具体思路，得2分；其他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工程情况，编制进度计划（含前期准备、主体施工、验收等阶段），对供应商提供的进度计划安排进行综合评审。进度安排合理可行，各环节有序衔接，完全满足需求得7分；进度安排合理可行，各环节衔接顺畅，仅个别阶段存在小幅优化空间，完全满足需求，得5分；进度安排较合理，核心环节衔接无明显问题，基本满足需求，得3分；进度安排合理性较差，存在环节衔接延迟，对项目满足度较欠缺，得1分；其他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目标是否明确，针对堤防维修养护常见问题（包括但不限于土体回填不实、绿化植物病虫害、设施安装松动、巡查记录遗漏等）治理措施进行综合评审。质量目标清晰，通病治理措施精准有效，质量保证体系健全，覆盖全工程环节，得7分；质量目标明确，主要通病治理措施可行，质量保证体系基本完善，满足项目需求，得5分；质量目标较模糊，部分通病治理措施可行，质量保证体系存在一定漏洞，得3分；质量目标模糊，通病治理措施缺失或无效，质量保证体系不完善，得1分；其他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安全文明环保措施</w:t>
            </w:r>
          </w:p>
        </w:tc>
        <w:tc>
          <w:tcPr>
            <w:tcW w:type="dxa" w:w="2492"/>
          </w:tcPr>
          <w:p>
            <w:pPr>
              <w:pStyle w:val="null3"/>
            </w:pPr>
            <w:r>
              <w:rPr>
                <w:rFonts w:ascii="仿宋_GB2312" w:hAnsi="仿宋_GB2312" w:cs="仿宋_GB2312" w:eastAsia="仿宋_GB2312"/>
              </w:rPr>
              <w:t>依据供应商在堤防维修养护全过程（土体作业、机械使用、设施安装、绿化作业、垃圾处理等环节）采取的安全防护、文明施工、环保措施进行综合评审。安全、环保、文明等方案措施全面，能确保本项目顺利进行，得7分；安全、环保、文明等方案措施较全面，基本满足本项目需求，得5分；安全、环保、文明等方案措施一般，对项目保障有一定欠缺，得3分；安全、环保、文明等方案措施较差，不能确保本项目顺利进行，得1分；其他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本项目绿化植物成活率、设施运维、日常巡查保洁质量等保障措施进行综合评审。绿化成活率保障措施科学，设施运维响应及时，巡查保洁标准明确，保障全面到位，得7分；绿化成活率保障措施基本可行，设施运维和巡查保洁措施能满足基本需求，得5分；绿化成活率保障措施有一定欠缺，设施运维和巡查保洁措施针对性不足，得3分；绿化成活率无有效保障，设施运维和巡查保洁措施缺失，得1分；其他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机构人员（含项目负责人、技术人员、安全员、巡查人员、养护人员等）配备合理，岗位职责明确，能够根据本项目的实际需求提供专业全面的技术服务人员，有具体的人员明细表，包括姓名、地址、联系电话、岗位及专业证书等内容。项目机构人员架构清晰、职责明确、安排合理、专业性强的得8分；项目机构人员架构清晰，职责明确，提供的专业人员基本满足本项目的实际需求，分工较合理的得5分；项目机构配备差、专业服务人员少、不符合项目整体需求，不能使项目正常运作的得3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设备设施及辅助设施情况</w:t>
            </w:r>
          </w:p>
        </w:tc>
        <w:tc>
          <w:tcPr>
            <w:tcW w:type="dxa" w:w="2492"/>
          </w:tcPr>
          <w:p>
            <w:pPr>
              <w:pStyle w:val="null3"/>
            </w:pPr>
            <w:r>
              <w:rPr>
                <w:rFonts w:ascii="仿宋_GB2312" w:hAnsi="仿宋_GB2312" w:cs="仿宋_GB2312" w:eastAsia="仿宋_GB2312"/>
              </w:rPr>
              <w:t>根据项目拟使用的设备、辅助设施是否完备，是否满足本项目需求进行综合评审。设备、辅助设施提供完善，完全满足本项目需求，得8分；设备、辅助设施提供较完善，基本满足本项目需求，得6分；设备、辅助设施提供基本完善，能满足项目基础需求，得4分；设备、辅助设施提供不完善，无法满足项目基础需求，得2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提供的重难点分析情况进行综合评审。对本项目重难点认识深刻，表述全面准确，可操作性强得6分；重难点表述较全面、较准确，可操作性较强得4分；重难点表述不全面、可操作性差得2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项目实际风险（如汛期堤防险情、设备故障应急、人员安全事故、绿化植物灾害）制定的应急救援预案进行综合评审。应急救援预案针对性强，应对流程和物资准备明确，得8分；应急救援预案针对性较强，有基本应对流程，得6分；应急救援预案针对性一般，应对流程较简单，得4分；应急救援预案针对性差，应对流程不明确，得2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2022年1月1日以来供应商有类似项目业绩的，每有一份得5分，最多得10分。备注：投标人须提供合同文本复印件，合同复印件须包括合同首页、合同标的页、合同金额所在页、签字盖章页并加盖公章。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采用低价优先法计算,即满足磋商文件要求且最后磋商报价最低的报价为评审基准价，其价格分为满分。其他供应商的价格分统一按照下列公式计算：磋商报价得分=【评审基准价/磋商报价（最终报价）】×20；2、本项目专门面向中小企业采购，不再执行价格评审优惠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详见附件：响应实施方案.docx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