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0BEC1B8B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1.已标价工程量清单仅适用于采用项目单价报价，不适用于采用项目包干价或采购人固定价报价；</w:t>
      </w:r>
      <w:bookmarkStart w:id="0" w:name="_GoBack"/>
      <w:bookmarkEnd w:id="0"/>
    </w:p>
    <w:p w14:paraId="7BE95386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2.已标价工程量清单应按工程量清单报价相关要求进行填报；</w:t>
      </w:r>
    </w:p>
    <w:p w14:paraId="555FA468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.已标价工程量清单原件扫描成PDF格式，以附件形式上传，作为响应文件的组成部分。</w:t>
      </w: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0E022913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1</Lines>
  <Paragraphs>1</Paragraphs>
  <TotalTime>3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惊蛰</cp:lastModifiedBy>
  <dcterms:modified xsi:type="dcterms:W3CDTF">2025-09-23T13:01:16Z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eyJoZGlkIjoiMmViN2EzZjI2ZWRhOTA2YTQ1NDU0YjdlZDJjNjhmZDciLCJ1c2VySWQiOiI4MjU5NjMxNDEifQ==</vt:lpwstr>
  </property>
  <property fmtid="{D5CDD505-2E9C-101B-9397-08002B2CF9AE}" pid="4" name="ICV">
    <vt:lpwstr>C7E92F715D5E42C98F1E5204EA6762C7_12</vt:lpwstr>
  </property>
</Properties>
</file>