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版本号：HDFX-2025-Z14520250925001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临潼区2025年农业防灾救灾资金农作物病虫害防治项目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HDFX-2025-Z145</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临潼区2025年农业防灾救灾资金农作物病虫害防治项目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临潼区2025年农业防灾救灾资金农作物病虫害防治项目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临潼区2025年农业防灾救灾资金农作物病虫害防治项目。本次项目采购秋季小麦苗期重大病虫害防控药剂、玉米重大病虫害防控药剂及相关服务。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采购包1（病虫害防治）：属于专门面向中小企业采购。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w:t>
      </w:r>
    </w:p>
    <w:p>
      <w:pPr>
        <w:pStyle w:val="null3"/>
      </w:pPr>
      <w:r>
        <w:rPr>
          <w:rFonts w:ascii="仿宋_GB2312" w:hAnsi="仿宋_GB2312" w:cs="仿宋_GB2312" w:eastAsia="仿宋_GB2312"/>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4、社保保障资金缴纳证明：提供投标截止时间前十二个月内至少一个月的社会保障资金缴存单据或社保机构开具的社会保险参保缴费情况证明，依法不需要缴纳社会保障资金的单位应提供相关证明材料。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5、税收缴纳证明：提供投标截止时间前十二个月内至少一个月的纳税证明或完税证明（任意税种，个人所得税除外），依法免税的单位应提供相关证明材料。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8、履行合同的书面承诺：承诺具备履行合同所必需的设备和专业技术能力。</w:t>
      </w:r>
    </w:p>
    <w:p>
      <w:pPr>
        <w:pStyle w:val="null3"/>
      </w:pPr>
      <w:r>
        <w:rPr>
          <w:rFonts w:ascii="仿宋_GB2312" w:hAnsi="仿宋_GB2312" w:cs="仿宋_GB2312" w:eastAsia="仿宋_GB2312"/>
        </w:rPr>
        <w:t>9、非联合体声明函：本项目不接受联合体投标。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临潼区农技推广服务中心经办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83886540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代理服务费收费标准：1、中标人在领取中标通知书前，须向采购代理机构支付服务费。 2、服务费参照《国家计委关于印发&lt;招标代理服务收费管理暂行办法&gt;的通知》（计价格〔2002〕1980号）规定收取。 3、中标人服务费交纳信息 银行户名：陕西华达峰信项目管理有限公司 开户银行：中国工商银行股份有限公司西安未央支行 账 号：3700 0340 0910 0001 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临潼区2025年农业防灾救灾资金农作物病虫害防治项目。本次项目采购秋季小麦苗期重大病虫害防控药剂、玉米重大病虫害防控药剂及相关服务。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725,000.00</w:t>
      </w:r>
    </w:p>
    <w:p>
      <w:pPr>
        <w:pStyle w:val="null3"/>
      </w:pPr>
      <w:r>
        <w:rPr>
          <w:rFonts w:ascii="仿宋_GB2312" w:hAnsi="仿宋_GB2312" w:cs="仿宋_GB2312" w:eastAsia="仿宋_GB2312"/>
        </w:rPr>
        <w:t>采购包最高限价（元）: 725,000.00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临潼区2025年农业防灾救灾资金农作物病虫害防治项目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标的名称：临潼区2025年农业防灾救灾资金农作物病虫害防治项目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0"/>
                <w:b/>
              </w:rPr>
              <w:t>1、秋季小麦苗期重大病虫害防控药剂</w:t>
            </w:r>
          </w:p>
          <w:p>
            <w:pPr>
              <w:pStyle w:val="null3"/>
              <w:jc w:val="left"/>
            </w:pPr>
            <w:r>
              <w:rPr>
                <w:rFonts w:ascii="仿宋_GB2312" w:hAnsi="仿宋_GB2312" w:cs="仿宋_GB2312" w:eastAsia="仿宋_GB2312"/>
                <w:sz w:val="20"/>
              </w:rPr>
              <w:t>临潼区</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农业防灾救灾资金农作物病虫害防治项目秋季小麦苗期重大病虫害防控药剂采购需求如下：</w:t>
            </w:r>
          </w:p>
          <w:p>
            <w:pPr>
              <w:pStyle w:val="null3"/>
              <w:jc w:val="left"/>
            </w:pPr>
            <w:r>
              <w:rPr>
                <w:rFonts w:ascii="仿宋_GB2312" w:hAnsi="仿宋_GB2312" w:cs="仿宋_GB2312" w:eastAsia="仿宋_GB2312"/>
                <w:sz w:val="20"/>
              </w:rPr>
              <w:t>1.1药剂名称：9%苯醚甲环唑·咯菌腈·噻虫嗪悬浮剂</w:t>
            </w:r>
          </w:p>
          <w:p>
            <w:pPr>
              <w:pStyle w:val="null3"/>
              <w:jc w:val="both"/>
            </w:pPr>
            <w:r>
              <w:rPr>
                <w:rFonts w:ascii="仿宋_GB2312" w:hAnsi="仿宋_GB2312" w:cs="仿宋_GB2312" w:eastAsia="仿宋_GB2312"/>
                <w:sz w:val="20"/>
              </w:rPr>
              <w:t>1.2采购数量：1800公斤</w:t>
            </w:r>
          </w:p>
          <w:p>
            <w:pPr>
              <w:pStyle w:val="null3"/>
              <w:jc w:val="both"/>
            </w:pPr>
            <w:r>
              <w:rPr>
                <w:rFonts w:ascii="仿宋_GB2312" w:hAnsi="仿宋_GB2312" w:cs="仿宋_GB2312" w:eastAsia="仿宋_GB2312"/>
                <w:sz w:val="20"/>
              </w:rPr>
              <w:t>1.3要求：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1）种衣剂拌种防控示范使用的药剂须三证齐全且在有效期内；“三证”分别是《农药登记证》、《农药生产许可证或农药生产批准文件》、《农药标准证》）；肥料须提供《肥料登记证》；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2）所供产品的最小包装不得大于1000克（毫升）；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3）全程提供种子包衣技术培训与指导；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4）全程提供包衣机（拌种机）开展拌种服务。</w:t>
            </w:r>
          </w:p>
          <w:p>
            <w:pPr>
              <w:pStyle w:val="null3"/>
              <w:jc w:val="both"/>
            </w:pPr>
            <w:r>
              <w:rPr>
                <w:rFonts w:ascii="仿宋_GB2312" w:hAnsi="仿宋_GB2312" w:cs="仿宋_GB2312" w:eastAsia="仿宋_GB2312"/>
                <w:sz w:val="20"/>
                <w:b/>
              </w:rPr>
              <w:t>2、玉米重大病虫害防控药剂</w:t>
            </w:r>
          </w:p>
          <w:p>
            <w:pPr>
              <w:pStyle w:val="null3"/>
              <w:jc w:val="both"/>
            </w:pPr>
            <w:r>
              <w:rPr>
                <w:rFonts w:ascii="仿宋_GB2312" w:hAnsi="仿宋_GB2312" w:cs="仿宋_GB2312" w:eastAsia="仿宋_GB2312"/>
                <w:sz w:val="20"/>
              </w:rPr>
              <w:t>临潼区</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农业防灾救灾资金农作物病虫害防治项目秋季玉米重大病虫害防控药剂采购需求如下：</w:t>
            </w:r>
          </w:p>
          <w:p>
            <w:pPr>
              <w:pStyle w:val="null3"/>
              <w:jc w:val="both"/>
            </w:pPr>
            <w:r>
              <w:rPr>
                <w:rFonts w:ascii="仿宋_GB2312" w:hAnsi="仿宋_GB2312" w:cs="仿宋_GB2312" w:eastAsia="仿宋_GB2312"/>
                <w:sz w:val="20"/>
              </w:rPr>
              <w:t>2.1药剂方案：25%氯虫苯甲酰胺·茚虫威悬浮剂每亩8毫升+45%戊唑·咪鲜胺水乳剂每亩25毫升+99%磷酸二氢钾每亩100克；</w:t>
            </w:r>
          </w:p>
          <w:p>
            <w:pPr>
              <w:pStyle w:val="null3"/>
              <w:jc w:val="both"/>
            </w:pPr>
            <w:r>
              <w:rPr>
                <w:rFonts w:ascii="仿宋_GB2312" w:hAnsi="仿宋_GB2312" w:cs="仿宋_GB2312" w:eastAsia="仿宋_GB2312"/>
                <w:sz w:val="20"/>
              </w:rPr>
              <w:t>2.2采购数量：25%氯虫苯甲酰胺·茚虫威悬浮剂464公斤+45%戊唑·咪鲜胺水乳剂1450公斤+99%磷酸二氢钾5800公斤；</w:t>
            </w:r>
          </w:p>
          <w:p>
            <w:pPr>
              <w:pStyle w:val="null3"/>
              <w:jc w:val="both"/>
            </w:pPr>
            <w:r>
              <w:rPr>
                <w:rFonts w:ascii="仿宋_GB2312" w:hAnsi="仿宋_GB2312" w:cs="仿宋_GB2312" w:eastAsia="仿宋_GB2312"/>
                <w:sz w:val="20"/>
              </w:rPr>
              <w:t>2.3要求：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1）所供农药须三证齐全，“三证”分别是《农药登记证》、《农药生产许可证或农药生产批准文件》、《农药标准证》）；肥料须提供《肥料登记证》；所有产品须提供质量检测报告；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2）所有产品须为2025年内生产；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3）所有产品的最小包装不得大于1000克（毫升）。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货物全部交付且验收合格，甲方收到乙方出具正式发票后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2、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3、供应商务必在开标截止时间30分钟前，通过项目电子化交易系统进行签到，如未进行签到，产生的一起后果由供应商自行承担。4、本项目需落实的政府采购政策：（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11）《关于进一步加大政府采购支持中小企业力度的通知》（财库〔2022〕19号）；（12）《关于扩大政府采购支持绿色建材促进建筑品质提升政策实施范围的通知》（财库〔2022〕35号）；（13）陕西省财政厅 中国人民银行西安分行关于深入推进政府采购信用融资业务通知(陕财办采〔2023〕5号)；（14）其他需执行的政府采购政策。5、本项目专门面向中小企业采购。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提供投标截止时间前十二个月内至少一个月的社会保障资金缴存单据或社保机构开具的社会保险参保缴费情况证明，依法不需要缴纳社会保障资金的单位应提供相关证明材料。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提供投标截止时间前十二个月内至少一个月的纳税证明或完税证明（任意税种，个人所得税除外），依法免税的单位应提供相关证明材料。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投标文件（格式）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 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完整无缺项，无选择性报价。投标报价不得超过预算金额及最高限价。</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投标人结合项目特点，针对供货准备期、供货期，管理制度、人员配备、管理技术、现场管理、奖惩措施等方面制定质量管控体系，保证体系健全、管控措施合理、可行。评标委员会根据投标人的方案进行打分。 供货准备期短，供货速度快，质量管控体系健全合理，人员配备充足且经验丰富，管理技术科学有效、现场管理制度全面有序、奖惩措施明确合理，能确保货物又快又好地进行供应的得9分；供货准备期较短，供货速度较快，质量管控体系较健全合理，人员配备较充足且经验较丰富，管理技术比较有效、现场管理制度比较有序、奖惩措施比较明确，能确保货物符合要求地进行供应的得6分；供货准备期长、供货速度慢，质量管控体系一般可行，人员配备较少且经验欠缺，管理技术较少、现场管理制度略有缺失、奖惩措施不太明确，基本能确保货物进行供应的得3分；其余或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质量保 证措施</w:t>
            </w:r>
          </w:p>
        </w:tc>
        <w:tc>
          <w:tcPr>
            <w:tcW w:type="dxa" w:w="2492"/>
          </w:tcPr>
          <w:p>
            <w:pPr>
              <w:pStyle w:val="null3"/>
            </w:pPr>
            <w:r>
              <w:rPr>
                <w:rFonts w:ascii="仿宋_GB2312" w:hAnsi="仿宋_GB2312" w:cs="仿宋_GB2312" w:eastAsia="仿宋_GB2312"/>
              </w:rPr>
              <w:t>根据要求提供关于本项目的①质量目标管理体系；②质量安全的保证措施方案；③货物的验收方案。方案各部分内容全面详细、阐述条理清晰详尽、措施到位，符合本项目采购需求得12分；以上分项每缺少一项内容扣4分；有某一项不完整或不符合实际要求或不满足实施要求或套用其他项目内容的每项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根据项目需求提供应急方案，方案包括但不限于应急方案及措施、应急人员安排、应急预案及应急时间。方案合理全面且详细，应急时间迅速，应急人员齐备，解决紧急事件经验丰富，应急措施切实有效，有预见性，对可能存在的情况有具体应对方案和具体时间节点安排，应急解决问题的时间短，优于采购需求得9分；方案较合理，应急时间较迅速，应急人员较齐全，管理力量比较雄厚，技术人员专业素养较高且有一定紧急事件处理经验，应急措施比较有效，比较有预见性，应急解决问题的时间较短，符合采购需求得6分；方案简单，应急速度较慢，服务人员较少，专业素养较低或没有经验，应急措施比较简单，不太有预见性，应急解决问题的时间较长得3分；其余或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提供自2022年9月1日至今所投货物业绩（以合同为准），每提供一份业绩得2分，满分12分。未提供有效业绩的不得分。 注：有效业绩的定义为提供合同复印件加盖公章，时间以合同签订时间为准，合同须明确显示双方签章。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根据投标人所提供的售后服务方案（包括但不限于售后服务保障制度、服务团队配置、售后服务热线、服务承诺等）进行打分。 保障制度全面合理，团队配置齐全且经验丰富，售后服务热线响应时间快，服务承诺高效可行的得9分；保障制度较全面合理，团队配置较齐全且经验较丰富，售后服务热线响应时间较快，服务承诺较高效可行的得6分；保障制度一般合理，团队配置简单且经验欠缺，售后服务热线响应时间较慢，服务承诺一般可行的得3分；其余或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在满足招标文件质保期要求的基础上，所投产品质保期每增加3个月加1分（不足3个月的不加分），满分8分。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根据投标人提供培训方案进行评审，包括培训计划、培训内容、 人员培训安排等。（1）方案内容契合需求且实际操作性强，得5分；（2）方案内容合理且基本符合需求，得3分；（3）方案内容合理但有欠缺，得1分；（4）方案未提供或不符合需求，不得分。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产品来 源渠道</w:t>
            </w:r>
          </w:p>
        </w:tc>
        <w:tc>
          <w:tcPr>
            <w:tcW w:type="dxa" w:w="2492"/>
          </w:tcPr>
          <w:p>
            <w:pPr>
              <w:pStyle w:val="null3"/>
            </w:pPr>
            <w:r>
              <w:rPr>
                <w:rFonts w:ascii="仿宋_GB2312" w:hAnsi="仿宋_GB2312" w:cs="仿宋_GB2312" w:eastAsia="仿宋_GB2312"/>
              </w:rPr>
              <w:t>投标人需提供所投产品合法正规来源渠道证明文件：包括但不限于厂家授权、销售协议、代理协议等； 评审标准：根据提供所投产品证明文件齐全表述明确充分得3.1-6分，证明文件不齐全、表述不充分得1-3分，未提供者不得分。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