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版本号：HYDZB202503520251017002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2025年耕地建设与利用资金化肥减量增效项目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HYDZB2025035</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2025年耕地建设与利用资金化肥减量增效项目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HYDZB2025035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2025年耕地建设与利用资金化肥减量增效项目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为促进我区粮食作物产量提高、品质提升，推动粮食产业转型升级、提质增效。特集中采购一批小麦专用配方肥料。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采购包1（2025年耕地建设与利用资金化肥减量增效项目）：属于专门面向中小企业采购。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2、财务报表：提供2024年经审计的财务审计报告 (成立时间至开标时间不足一年的可提供成立后任意时段的资产负债表）或开标截止时间前六个月内其基本账户银行出具的资信证明；</w:t>
      </w:r>
    </w:p>
    <w:p>
      <w:pPr>
        <w:pStyle w:val="null3"/>
      </w:pPr>
      <w:r>
        <w:rPr>
          <w:rFonts w:ascii="仿宋_GB2312" w:hAnsi="仿宋_GB2312" w:cs="仿宋_GB2312" w:eastAsia="仿宋_GB2312"/>
        </w:rPr>
        <w:t>3、税收缴纳证明：提供近一年内已缴纳的至少一个月的纳税证明或完税证明，依法免税的单位应提供相关证明材料；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4、社会保障资金缴纳证明：提供近一年内已缴存的至少一个月的社会保险参保缴费情况证明，依法不需要缴纳社会保障资金的单位应提供相关证明材料；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5、履约能力声明：提供具有履行合同所必须的设备和专业技术能力的书面承诺；</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7、法定代表人授权书：法人代表证明书或法人授权委托书，后附法人及被委托人身份证（法定代表人直接参加投标的只需提供法定代表人身份证）；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8、供应商资质：供应商须提供所投产品的肥料登记证或省级农业农村部门肥料备案信息系统的备案凭证（供应商为代理商的提供加盖厂家公章的肥料登记证或备案证明材料）；</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p>
      <w:pPr>
        <w:pStyle w:val="null3"/>
      </w:pPr>
      <w:r>
        <w:rPr>
          <w:rFonts w:ascii="仿宋_GB2312" w:hAnsi="仿宋_GB2312" w:cs="仿宋_GB2312" w:eastAsia="仿宋_GB2312"/>
        </w:rPr>
        <w:t>10、非联合体声明函：本项目不接受联合体投标。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13809193699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陕西省西安市临潼区陕西省西安市临潼区东三岔昌龄巷北排1号4F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联系人：陕西恒益鼎工程项目管理有限公司</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地址：陕西省西安市临潼区秦岭南路20号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为促进我区粮食作物产量提高、品质提升，推动粮食产业转型升级、提质增效。特集中采购一批小麦专用配方肥料。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1,090,000.00</w:t>
      </w:r>
    </w:p>
    <w:p>
      <w:pPr>
        <w:pStyle w:val="null3"/>
      </w:pPr>
      <w:r>
        <w:rPr>
          <w:rFonts w:ascii="仿宋_GB2312" w:hAnsi="仿宋_GB2312" w:cs="仿宋_GB2312" w:eastAsia="仿宋_GB2312"/>
        </w:rPr>
        <w:t>采购包最高限价（元）: 1,090,000.00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2025年耕地建设与利用资金化肥减量增效项目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标的名称：2025年耕地建设与利用资金化肥减量增效项目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、采购内容</w:t>
            </w:r>
            <w:r>
              <w:rPr>
                <w:rFonts w:ascii="仿宋_GB2312" w:hAnsi="仿宋_GB2312" w:cs="仿宋_GB2312" w:eastAsia="仿宋_GB2312"/>
                <w:sz w:val="21"/>
                <w:b/>
                <w:color w:val="000000"/>
              </w:rPr>
              <w:t>及技术要求</w:t>
            </w:r>
          </w:p>
          <w:tbl>
            <w:tblPr>
              <w:tblInd w:type="dxa" w:w="150"/>
              <w:tblBorders>
                <w:top w:val="none" w:color="000000" w:sz="4"/>
                <w:left w:val="none" w:color="000000" w:sz="4"/>
                <w:bottom w:val="none" w:color="000000" w:sz="4"/>
                <w:right w:val="none" w:color="000000" w:sz="4"/>
                <w:insideH w:val="none"/>
                <w:insideV w:val="none"/>
              </w:tblBorders>
            </w:tblPr>
            <w:tblGrid>
              <w:gridCol w:w="887"/>
              <w:gridCol w:w="997"/>
              <w:gridCol w:w="735"/>
              <w:gridCol w:w="604"/>
              <w:gridCol w:w="595"/>
            </w:tblGrid>
            <w:tr>
              <w:tc>
                <w:tcPr>
                  <w:tcW w:type="dxa" w:w="8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有效成分</w:t>
                  </w:r>
                  <w:r>
                    <w:rPr>
                      <w:rFonts w:ascii="仿宋_GB2312" w:hAnsi="仿宋_GB2312" w:cs="仿宋_GB2312" w:eastAsia="仿宋_GB2312"/>
                      <w:sz w:val="21"/>
                      <w:b/>
                      <w:color w:val="000000"/>
                    </w:rPr>
                    <w:t>/含量</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执行标准</w:t>
                  </w:r>
                </w:p>
              </w:tc>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生物有机肥</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有效活性菌</w:t>
                  </w:r>
                  <w:r>
                    <w:rPr>
                      <w:rFonts w:ascii="仿宋_GB2312" w:hAnsi="仿宋_GB2312" w:cs="仿宋_GB2312" w:eastAsia="仿宋_GB2312"/>
                      <w:sz w:val="21"/>
                      <w:color w:val="000000"/>
                    </w:rPr>
                    <w:t>≥0.2亿/克</w:t>
                  </w:r>
                </w:p>
                <w:p>
                  <w:pPr>
                    <w:pStyle w:val="null3"/>
                    <w:jc w:val="center"/>
                  </w:pPr>
                  <w:r>
                    <w:rPr>
                      <w:rFonts w:ascii="仿宋_GB2312" w:hAnsi="仿宋_GB2312" w:cs="仿宋_GB2312" w:eastAsia="仿宋_GB2312"/>
                      <w:sz w:val="21"/>
                      <w:color w:val="000000"/>
                    </w:rPr>
                    <w:t>有机质</w:t>
                  </w:r>
                  <w:r>
                    <w:rPr>
                      <w:rFonts w:ascii="仿宋_GB2312" w:hAnsi="仿宋_GB2312" w:cs="仿宋_GB2312" w:eastAsia="仿宋_GB2312"/>
                      <w:sz w:val="21"/>
                      <w:color w:val="000000"/>
                    </w:rPr>
                    <w:t>≥40.0%（颗粒）</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NY884-2012</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40KG/袋</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178.5吨</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掺混肥</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氮磷钾总养分≥42%，配方比例为17：20：5或接近配方</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GB/T21633-2020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40KG/袋</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112.6吨</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磷酸二氢钾（飞防）</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HG/T2321-2016</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5KG/袋</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4.82吨</w:t>
                  </w:r>
                </w:p>
              </w:tc>
            </w:tr>
            <w:tr>
              <w:tc>
                <w:tcPr>
                  <w:tcW w:type="dxa" w:w="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含腐植酸水溶肥料</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腐植酸含量≥3.0%</w:t>
                  </w:r>
                </w:p>
                <w:p>
                  <w:pPr>
                    <w:pStyle w:val="null3"/>
                    <w:jc w:val="center"/>
                  </w:pPr>
                  <w:r>
                    <w:rPr>
                      <w:rFonts w:ascii="仿宋_GB2312" w:hAnsi="仿宋_GB2312" w:cs="仿宋_GB2312" w:eastAsia="仿宋_GB2312"/>
                      <w:sz w:val="19"/>
                      <w:color w:val="000000"/>
                    </w:rPr>
                    <w:t>大量元素含量≥20%</w:t>
                  </w:r>
                </w:p>
                <w:p>
                  <w:pPr>
                    <w:pStyle w:val="null3"/>
                    <w:jc w:val="center"/>
                  </w:p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NY1106-2010</w:t>
                  </w:r>
                </w:p>
              </w:tc>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3KG/袋</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4吨</w:t>
                  </w:r>
                </w:p>
              </w:tc>
            </w:tr>
          </w:tbl>
          <w:p>
            <w:pPr>
              <w:pStyle w:val="null3"/>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服务要求</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工期要</w:t>
            </w:r>
          </w:p>
          <w:p>
            <w:pPr>
              <w:pStyle w:val="null3"/>
              <w:ind w:firstLine="420"/>
            </w:pPr>
            <w:r>
              <w:rPr>
                <w:rFonts w:ascii="仿宋_GB2312" w:hAnsi="仿宋_GB2312" w:cs="仿宋_GB2312" w:eastAsia="仿宋_GB2312"/>
                <w:sz w:val="21"/>
                <w:color w:val="000000"/>
              </w:rPr>
              <w:t>自合同签订</w:t>
            </w:r>
            <w:r>
              <w:rPr>
                <w:rFonts w:ascii="仿宋_GB2312" w:hAnsi="仿宋_GB2312" w:cs="仿宋_GB2312" w:eastAsia="仿宋_GB2312"/>
                <w:sz w:val="21"/>
                <w:color w:val="000000"/>
              </w:rPr>
              <w:t>之日起</w:t>
            </w:r>
            <w:r>
              <w:rPr>
                <w:rFonts w:ascii="仿宋_GB2312" w:hAnsi="仿宋_GB2312" w:cs="仿宋_GB2312" w:eastAsia="仿宋_GB2312"/>
                <w:sz w:val="21"/>
                <w:color w:val="000000"/>
              </w:rPr>
              <w:t>10个日历日内完成全部采购内容，并交付采购人验收合格。</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服务要求</w:t>
            </w:r>
          </w:p>
          <w:p>
            <w:pPr>
              <w:pStyle w:val="null3"/>
              <w:ind w:firstLine="420"/>
            </w:pPr>
            <w:r>
              <w:rPr>
                <w:rFonts w:ascii="仿宋_GB2312" w:hAnsi="仿宋_GB2312" w:cs="仿宋_GB2312" w:eastAsia="仿宋_GB2312"/>
                <w:sz w:val="21"/>
                <w:color w:val="000000"/>
              </w:rPr>
              <w:t>中标单位未征得采购单位同意和谅解而单方面延迟交货，将按违约终止合</w:t>
            </w:r>
            <w:r>
              <w:rPr>
                <w:rFonts w:ascii="仿宋_GB2312" w:hAnsi="仿宋_GB2312" w:cs="仿宋_GB2312" w:eastAsia="仿宋_GB2312"/>
                <w:sz w:val="21"/>
                <w:color w:val="000000"/>
              </w:rPr>
              <w:t>同</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中标单位遇到可能妨碍按时交货和提供服务的情况，应当及时以书面形式通知采购单位，说明原由、拖延的期限等；采购单位在收到通知后，尽快进行情况评估并确定是否通过修改合同，酌情延长交货时间或者通过协商加收误期赔偿。</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质保期</w:t>
            </w:r>
          </w:p>
          <w:p>
            <w:pPr>
              <w:pStyle w:val="null3"/>
              <w:ind w:firstLine="420"/>
            </w:pPr>
            <w:r>
              <w:rPr>
                <w:rFonts w:ascii="仿宋_GB2312" w:hAnsi="仿宋_GB2312" w:cs="仿宋_GB2312" w:eastAsia="仿宋_GB2312"/>
                <w:sz w:val="21"/>
                <w:color w:val="000000"/>
              </w:rPr>
              <w:t>质保期为终验合格后不少于</w:t>
            </w:r>
            <w:r>
              <w:rPr>
                <w:rFonts w:ascii="仿宋_GB2312" w:hAnsi="仿宋_GB2312" w:cs="仿宋_GB2312" w:eastAsia="仿宋_GB2312"/>
                <w:sz w:val="21"/>
                <w:color w:val="000000"/>
              </w:rPr>
              <w:t>12个月。</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安全生产责任</w:t>
            </w:r>
          </w:p>
          <w:p>
            <w:pPr>
              <w:pStyle w:val="null3"/>
              <w:ind w:firstLine="420"/>
            </w:pPr>
            <w:r>
              <w:rPr>
                <w:rFonts w:ascii="仿宋_GB2312" w:hAnsi="仿宋_GB2312" w:cs="仿宋_GB2312" w:eastAsia="仿宋_GB2312"/>
                <w:sz w:val="21"/>
                <w:color w:val="000000"/>
              </w:rPr>
              <w:t>项目实施过程中发生的人员及财产安全责任由中标人承担。</w:t>
            </w:r>
          </w:p>
          <w:p>
            <w:pPr>
              <w:pStyle w:val="null3"/>
              <w:ind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质量</w:t>
            </w:r>
            <w:r>
              <w:rPr>
                <w:rFonts w:ascii="仿宋_GB2312" w:hAnsi="仿宋_GB2312" w:cs="仿宋_GB2312" w:eastAsia="仿宋_GB2312"/>
                <w:sz w:val="21"/>
                <w:b/>
                <w:color w:val="000000"/>
              </w:rPr>
              <w:t>要求</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产品</w:t>
            </w:r>
            <w:r>
              <w:rPr>
                <w:rFonts w:ascii="仿宋_GB2312" w:hAnsi="仿宋_GB2312" w:cs="仿宋_GB2312" w:eastAsia="仿宋_GB2312"/>
                <w:sz w:val="21"/>
                <w:b/>
                <w:color w:val="000000"/>
              </w:rPr>
              <w:t>质检</w:t>
            </w:r>
            <w:r>
              <w:rPr>
                <w:rFonts w:ascii="仿宋_GB2312" w:hAnsi="仿宋_GB2312" w:cs="仿宋_GB2312" w:eastAsia="仿宋_GB2312"/>
                <w:sz w:val="21"/>
                <w:b/>
                <w:color w:val="000000"/>
              </w:rPr>
              <w:t>报告</w:t>
            </w:r>
            <w:r>
              <w:rPr>
                <w:rFonts w:ascii="仿宋_GB2312" w:hAnsi="仿宋_GB2312" w:cs="仿宋_GB2312" w:eastAsia="仿宋_GB2312"/>
                <w:sz w:val="21"/>
                <w:b/>
                <w:color w:val="000000"/>
              </w:rPr>
              <w:t>等证明材料</w:t>
            </w:r>
            <w:r>
              <w:rPr>
                <w:rFonts w:ascii="仿宋_GB2312" w:hAnsi="仿宋_GB2312" w:cs="仿宋_GB2312" w:eastAsia="仿宋_GB2312"/>
                <w:sz w:val="21"/>
                <w:b/>
                <w:color w:val="000000"/>
              </w:rPr>
              <w:t>)</w:t>
            </w:r>
          </w:p>
          <w:p>
            <w:pPr>
              <w:pStyle w:val="null3"/>
              <w:ind w:firstLine="420"/>
            </w:pPr>
            <w:r>
              <w:rPr>
                <w:rFonts w:ascii="仿宋_GB2312" w:hAnsi="仿宋_GB2312" w:cs="仿宋_GB2312" w:eastAsia="仿宋_GB2312"/>
                <w:sz w:val="21"/>
                <w:color w:val="000000"/>
              </w:rPr>
              <w:t>符合国家相关标准及采购人要求。</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验收依据</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.1合同文本及合同补充文件（条款）。</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.2产品的合法来源渠道证明文件。</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.3</w:t>
            </w:r>
            <w:r>
              <w:rPr>
                <w:rFonts w:ascii="仿宋_GB2312" w:hAnsi="仿宋_GB2312" w:cs="仿宋_GB2312" w:eastAsia="仿宋_GB2312"/>
                <w:sz w:val="21"/>
                <w:color w:val="000000"/>
              </w:rPr>
              <w:t>招标文件</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.4成交供应商的</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文件。</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.5合同货物清单。</w:t>
            </w:r>
          </w:p>
          <w:p>
            <w:pPr>
              <w:pStyle w:val="null3"/>
              <w:ind w:firstLine="420"/>
            </w:pPr>
            <w:r>
              <w:rPr>
                <w:rFonts w:ascii="仿宋_GB2312" w:hAnsi="仿宋_GB2312" w:cs="仿宋_GB2312" w:eastAsia="仿宋_GB2312"/>
                <w:sz w:val="21"/>
                <w:color w:val="000000"/>
              </w:rPr>
              <w:t>4</w:t>
            </w:r>
            <w:r>
              <w:rPr>
                <w:rFonts w:ascii="仿宋_GB2312" w:hAnsi="仿宋_GB2312" w:cs="仿宋_GB2312" w:eastAsia="仿宋_GB2312"/>
                <w:sz w:val="21"/>
                <w:color w:val="000000"/>
              </w:rPr>
              <w:t>.6生产厂家的企业资质、货物的执行标准。</w:t>
            </w:r>
          </w:p>
          <w:p>
            <w:pPr>
              <w:pStyle w:val="null3"/>
              <w:ind w:firstLine="420"/>
            </w:pPr>
            <w:r>
              <w:rPr>
                <w:rFonts w:ascii="仿宋_GB2312" w:hAnsi="仿宋_GB2312" w:cs="仿宋_GB2312" w:eastAsia="仿宋_GB2312"/>
                <w:sz w:val="21"/>
                <w:color w:val="000000"/>
              </w:rPr>
              <w:t>5.</w:t>
            </w:r>
            <w:r>
              <w:rPr>
                <w:rFonts w:ascii="仿宋_GB2312" w:hAnsi="仿宋_GB2312" w:cs="仿宋_GB2312" w:eastAsia="仿宋_GB2312"/>
                <w:sz w:val="21"/>
                <w:color w:val="000000"/>
              </w:rPr>
              <w:t>工作范围</w:t>
            </w:r>
          </w:p>
          <w:p>
            <w:pPr>
              <w:pStyle w:val="null3"/>
              <w:ind w:firstLine="420"/>
            </w:pPr>
            <w:r>
              <w:rPr>
                <w:rFonts w:ascii="仿宋_GB2312" w:hAnsi="仿宋_GB2312" w:cs="仿宋_GB2312" w:eastAsia="仿宋_GB2312"/>
                <w:sz w:val="21"/>
                <w:color w:val="000000"/>
              </w:rPr>
              <w:t>根据招标文件，各供应商须按国家有关标准及规范完成下列工作：</w:t>
            </w:r>
          </w:p>
          <w:p>
            <w:pPr>
              <w:pStyle w:val="null3"/>
              <w:ind w:firstLine="420"/>
            </w:pPr>
            <w:r>
              <w:rPr>
                <w:rFonts w:ascii="仿宋_GB2312" w:hAnsi="仿宋_GB2312" w:cs="仿宋_GB2312" w:eastAsia="仿宋_GB2312"/>
                <w:sz w:val="21"/>
                <w:color w:val="000000"/>
              </w:rPr>
              <w:t>5.1</w:t>
            </w:r>
            <w:r>
              <w:rPr>
                <w:rFonts w:ascii="仿宋_GB2312" w:hAnsi="仿宋_GB2312" w:cs="仿宋_GB2312" w:eastAsia="仿宋_GB2312"/>
                <w:sz w:val="21"/>
                <w:color w:val="000000"/>
              </w:rPr>
              <w:t>提供完整成套的货物或服务；</w:t>
            </w:r>
          </w:p>
          <w:p>
            <w:pPr>
              <w:pStyle w:val="null3"/>
              <w:ind w:firstLine="420"/>
            </w:pPr>
            <w:r>
              <w:rPr>
                <w:rFonts w:ascii="仿宋_GB2312" w:hAnsi="仿宋_GB2312" w:cs="仿宋_GB2312" w:eastAsia="仿宋_GB2312"/>
                <w:sz w:val="21"/>
                <w:color w:val="000000"/>
              </w:rPr>
              <w:t>5.2</w:t>
            </w:r>
            <w:r>
              <w:rPr>
                <w:rFonts w:ascii="仿宋_GB2312" w:hAnsi="仿宋_GB2312" w:cs="仿宋_GB2312" w:eastAsia="仿宋_GB2312"/>
                <w:sz w:val="21"/>
                <w:color w:val="000000"/>
              </w:rPr>
              <w:t>货物及相关附件的提供、运输、装卸、就位、施工、检验、通过验收；</w:t>
            </w:r>
          </w:p>
          <w:p>
            <w:pPr>
              <w:pStyle w:val="null3"/>
              <w:ind w:firstLine="420"/>
            </w:pPr>
            <w:r>
              <w:rPr>
                <w:rFonts w:ascii="仿宋_GB2312" w:hAnsi="仿宋_GB2312" w:cs="仿宋_GB2312" w:eastAsia="仿宋_GB2312"/>
                <w:sz w:val="21"/>
                <w:color w:val="000000"/>
              </w:rPr>
              <w:t>5.3 包装：应采取防潮、防晒、防腐蚀、防震动及防止其它损坏的必要措施。成交人应承担由于其包装或防护措施不妥而引起的货物损坏和丢失等任何损失造成的责任或费用。</w:t>
            </w:r>
          </w:p>
          <w:p>
            <w:pPr>
              <w:pStyle w:val="null3"/>
              <w:ind w:firstLine="420"/>
            </w:pPr>
            <w:r>
              <w:rPr>
                <w:rFonts w:ascii="仿宋_GB2312" w:hAnsi="仿宋_GB2312" w:cs="仿宋_GB2312" w:eastAsia="仿宋_GB2312"/>
                <w:sz w:val="21"/>
                <w:color w:val="000000"/>
              </w:rPr>
              <w:t xml:space="preserve">5.4 </w:t>
            </w:r>
            <w:r>
              <w:rPr>
                <w:rFonts w:ascii="仿宋_GB2312" w:hAnsi="仿宋_GB2312" w:cs="仿宋_GB2312" w:eastAsia="仿宋_GB2312"/>
                <w:sz w:val="21"/>
                <w:color w:val="000000"/>
              </w:rPr>
              <w:t>运输：选择运输风险小、运费低、距离短的运输路线。运杂费一次包死在总价内，包括生产厂到现场所需的装卸、运输（含保险费）、现场保管费、二次倒运费等费用。</w:t>
            </w:r>
          </w:p>
          <w:p>
            <w:pPr>
              <w:pStyle w:val="null3"/>
              <w:ind w:firstLine="420"/>
            </w:pPr>
            <w:r>
              <w:rPr>
                <w:rFonts w:ascii="仿宋_GB2312" w:hAnsi="仿宋_GB2312" w:cs="仿宋_GB2312" w:eastAsia="仿宋_GB2312"/>
                <w:sz w:val="21"/>
                <w:color w:val="000000"/>
              </w:rPr>
              <w:t>以上工作内容的费用均包含在投标总价中。</w:t>
            </w:r>
          </w:p>
          <w:p>
            <w:pPr>
              <w:pStyle w:val="null3"/>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商务要求</w:t>
            </w:r>
          </w:p>
          <w:p>
            <w:pPr>
              <w:pStyle w:val="null3"/>
              <w:ind w:firstLine="420"/>
            </w:pPr>
            <w:r>
              <w:rPr>
                <w:rFonts w:ascii="仿宋_GB2312" w:hAnsi="仿宋_GB2312" w:cs="仿宋_GB2312" w:eastAsia="仿宋_GB2312"/>
                <w:sz w:val="21"/>
                <w:color w:val="000000"/>
              </w:rPr>
              <w:t>1.交货期限：</w:t>
            </w:r>
            <w:r>
              <w:rPr>
                <w:rFonts w:ascii="仿宋_GB2312" w:hAnsi="仿宋_GB2312" w:cs="仿宋_GB2312" w:eastAsia="仿宋_GB2312"/>
                <w:sz w:val="21"/>
                <w:color w:val="000000"/>
              </w:rPr>
              <w:t>自合同签订</w:t>
            </w:r>
            <w:r>
              <w:rPr>
                <w:rFonts w:ascii="仿宋_GB2312" w:hAnsi="仿宋_GB2312" w:cs="仿宋_GB2312" w:eastAsia="仿宋_GB2312"/>
                <w:sz w:val="21"/>
                <w:color w:val="000000"/>
              </w:rPr>
              <w:t>之日起</w:t>
            </w:r>
            <w:r>
              <w:rPr>
                <w:rFonts w:ascii="仿宋_GB2312" w:hAnsi="仿宋_GB2312" w:cs="仿宋_GB2312" w:eastAsia="仿宋_GB2312"/>
                <w:sz w:val="21"/>
                <w:color w:val="000000"/>
              </w:rPr>
              <w:t>10个日历日内完成全部项目内容，并交付采购人验收合格。</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交货</w:t>
            </w:r>
            <w:r>
              <w:rPr>
                <w:rFonts w:ascii="仿宋_GB2312" w:hAnsi="仿宋_GB2312" w:cs="仿宋_GB2312" w:eastAsia="仿宋_GB2312"/>
                <w:sz w:val="21"/>
                <w:color w:val="000000"/>
              </w:rPr>
              <w:t>地点：采购人指定地点。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自合同签订之日起10个日历日内完成全部采购内容，并交付采购人验收合格。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剩余部分待项目专项资金到位后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 3、线下纸质文件递交截止时间：同在线递交电子响应文件截止时间一致。 4、线下纸质文件递交地点：西安市临潼区秦陵南路20号新华书店2楼201室。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提供2024年经审计的财务审计报告 (成立时间至开标时间不足一年的可提供成立后任意时段的资产负债表）或开标截止时间前六个月内其基本账户银行出具的资信证明；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提供2024年经审计的财务审计报告 (成立时间至开标时间不足一年的可提供成立后任意时段的资产负债表）或开标截止时间前六个月内其基本账户银行出具的资信证明；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供应商应提交的相关资格证明材料.docx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供应商须提供所投产品的肥料登记证或省级农业农村部门肥料备案信息系统的备案凭证（供应商为代理商的提供加盖厂家公章的肥料登记证或备案证明材料）；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的供应商（提供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业绩.docx 中小企业声明函 商务应答表 产品技术参数表 分项报价表.docx 供应商应提交的相关资格证明材料.docx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 的采购预算或最高限价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满足招标文件的，投标人应提供包括但不限于检测报告等证明材料予以佐证，佐证材料应编制在投标文件中，投标人自行承担因佐证材料不全而被视为技术参数不满足的风险。 优良得5-10分；一般得3-5分；较差得0-3分。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项目实施方案：备货、供货进度及保证措施，拟投入本项目的人员安排及责任制度，安全保障措施，应急处理措施。 优良得10.1-15分；一般得5.1-10分；较差得0.1-5分。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所投产品制造厂家具有可靠、完善的质量管理制度；有足够的加工、检验能力；所投产品符合国际、国内相关标准，有具体可行的质量保证承诺，保证使用单位能正常使用。 优良得10.1-15分；一般得5.1-10分；较差得0.1-5分。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能提供所投产品的合法来源渠道证明文件（包括但不限于出厂质检报告等） 优良得5-10分；一般得3-5分；较差得0-3分。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履约能力承诺包括但不限于：①仓储设施②运输工具③管理水平。 优良得3-5分；一般得1-3分；较差得0-1分。 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售后服务网点的设定、拟投入售后服务人员配置情况、项目交付用户后出现缺陷响应时间及措施。 优良得5-10分；一般得3-5分；较差得0-3分。不提供的不计分。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2022年1月1日以来承接过的类似项目业绩，每提供一个得2.5分。（以合同复印件或中标通知书为准）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采用低价优先法计算，满足招标文件要求且投标价格最低的投标报价为评标基准价，其价格分为满分30分。 投标报价得分＝（评审基准价/投标报价）×30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